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12BC" w:rsidRPr="00F63CF0" w:rsidRDefault="0053797B" w:rsidP="00B44CB7">
      <w:pPr>
        <w:spacing w:line="360" w:lineRule="auto"/>
        <w:jc w:val="left"/>
        <w:rPr>
          <w:rFonts w:ascii="Times New Roman" w:hAnsi="Times New Roman" w:cs="Times New Roman"/>
          <w:lang w:val="en-US"/>
        </w:rPr>
      </w:pPr>
      <w:r>
        <w:rPr>
          <w:rFonts w:ascii="Times New Roman" w:hAnsi="Times New Roman" w:cs="Times New Roman"/>
          <w:lang w:val="en-US"/>
        </w:rPr>
        <w:t>ACTD</w:t>
      </w:r>
      <w:r w:rsidR="008412BC" w:rsidRPr="00F63CF0">
        <w:rPr>
          <w:rFonts w:ascii="Times New Roman" w:hAnsi="Times New Roman" w:cs="Times New Roman"/>
          <w:lang w:val="en-US"/>
        </w:rPr>
        <w:t xml:space="preserve"> </w:t>
      </w:r>
      <w:r w:rsidR="00D73B1A">
        <w:rPr>
          <w:rFonts w:ascii="Times New Roman" w:hAnsi="Times New Roman" w:cs="Times New Roman"/>
          <w:lang w:val="en-US"/>
        </w:rPr>
        <w:t>1808-1939</w:t>
      </w:r>
      <w:r w:rsidR="008412BC" w:rsidRPr="00F63CF0">
        <w:rPr>
          <w:rFonts w:ascii="Times New Roman" w:hAnsi="Times New Roman" w:cs="Times New Roman"/>
          <w:lang w:val="en-US"/>
        </w:rPr>
        <w:t>: DESCRIPTION OF METHODS AND NOMENCLATURE</w:t>
      </w:r>
    </w:p>
    <w:p w:rsidR="008412BC" w:rsidRDefault="008412BC" w:rsidP="00B44CB7">
      <w:pPr>
        <w:spacing w:line="360" w:lineRule="auto"/>
        <w:jc w:val="left"/>
        <w:rPr>
          <w:rFonts w:ascii="Times New Roman" w:hAnsi="Times New Roman" w:cs="Times New Roman"/>
          <w:lang w:val="en-US"/>
        </w:rPr>
      </w:pPr>
    </w:p>
    <w:p w:rsidR="00D73B1A" w:rsidRDefault="00D73B1A" w:rsidP="00A612C2">
      <w:pPr>
        <w:spacing w:line="360" w:lineRule="auto"/>
        <w:jc w:val="both"/>
        <w:rPr>
          <w:rFonts w:ascii="Times New Roman" w:hAnsi="Times New Roman" w:cs="Times New Roman"/>
          <w:lang w:val="en-US"/>
        </w:rPr>
      </w:pPr>
      <w:r>
        <w:rPr>
          <w:rFonts w:ascii="Times New Roman" w:hAnsi="Times New Roman" w:cs="Times New Roman"/>
          <w:lang w:val="en-US"/>
        </w:rPr>
        <w:t xml:space="preserve">This note provides a brief discussion of the basic methodology behind the construction of the export price indices listed in the African Commodity Trade Database (ACTD) for the years 1808-1939, </w:t>
      </w:r>
      <w:r w:rsidR="009C65A3">
        <w:rPr>
          <w:rFonts w:ascii="Times New Roman" w:hAnsi="Times New Roman" w:cs="Times New Roman"/>
          <w:lang w:val="en-US"/>
        </w:rPr>
        <w:t xml:space="preserve">discusses </w:t>
      </w:r>
      <w:r>
        <w:rPr>
          <w:rFonts w:ascii="Times New Roman" w:hAnsi="Times New Roman" w:cs="Times New Roman"/>
          <w:lang w:val="en-US"/>
        </w:rPr>
        <w:t xml:space="preserve">the representativeness of the import price index used to calculate </w:t>
      </w:r>
      <w:r w:rsidR="009C65A3">
        <w:rPr>
          <w:rFonts w:ascii="Times New Roman" w:hAnsi="Times New Roman" w:cs="Times New Roman"/>
          <w:lang w:val="en-US"/>
        </w:rPr>
        <w:t xml:space="preserve">the </w:t>
      </w:r>
      <w:r>
        <w:rPr>
          <w:rFonts w:ascii="Times New Roman" w:hAnsi="Times New Roman" w:cs="Times New Roman"/>
          <w:lang w:val="en-US"/>
        </w:rPr>
        <w:t>terms of trade</w:t>
      </w:r>
      <w:r w:rsidR="00596B8D">
        <w:rPr>
          <w:rFonts w:ascii="Times New Roman" w:hAnsi="Times New Roman" w:cs="Times New Roman"/>
          <w:lang w:val="en-US"/>
        </w:rPr>
        <w:t xml:space="preserve">, and </w:t>
      </w:r>
      <w:r w:rsidR="00A612C2">
        <w:rPr>
          <w:rFonts w:ascii="Times New Roman" w:hAnsi="Times New Roman" w:cs="Times New Roman"/>
          <w:lang w:val="en-US"/>
        </w:rPr>
        <w:t>e</w:t>
      </w:r>
      <w:r w:rsidR="009C65A3">
        <w:rPr>
          <w:rFonts w:ascii="Times New Roman" w:hAnsi="Times New Roman" w:cs="Times New Roman"/>
          <w:lang w:val="en-US"/>
        </w:rPr>
        <w:t>xplains</w:t>
      </w:r>
      <w:r w:rsidR="00596B8D">
        <w:rPr>
          <w:rFonts w:ascii="Times New Roman" w:hAnsi="Times New Roman" w:cs="Times New Roman"/>
          <w:lang w:val="en-US"/>
        </w:rPr>
        <w:t xml:space="preserve"> the geographical reach of the French regions/areas in our sample.</w:t>
      </w:r>
    </w:p>
    <w:p w:rsidR="00D73B1A" w:rsidRPr="00F63CF0" w:rsidRDefault="00D73B1A" w:rsidP="00B44CB7">
      <w:pPr>
        <w:spacing w:line="360" w:lineRule="auto"/>
        <w:jc w:val="left"/>
        <w:rPr>
          <w:rFonts w:ascii="Times New Roman" w:hAnsi="Times New Roman" w:cs="Times New Roman"/>
          <w:lang w:val="en-US"/>
        </w:rPr>
      </w:pPr>
    </w:p>
    <w:p w:rsidR="006E7DB1" w:rsidRPr="00F63CF0" w:rsidRDefault="0053797B" w:rsidP="00B44CB7">
      <w:pPr>
        <w:spacing w:line="360" w:lineRule="auto"/>
        <w:jc w:val="left"/>
        <w:rPr>
          <w:rFonts w:ascii="Times New Roman" w:hAnsi="Times New Roman" w:cs="Times New Roman"/>
          <w:b/>
          <w:lang w:val="en-US"/>
        </w:rPr>
      </w:pPr>
      <w:r>
        <w:rPr>
          <w:rFonts w:ascii="Times New Roman" w:hAnsi="Times New Roman" w:cs="Times New Roman"/>
          <w:b/>
          <w:lang w:val="en-US"/>
        </w:rPr>
        <w:t>EXPORT PRICE INDEX</w:t>
      </w:r>
    </w:p>
    <w:p w:rsidR="006E7DB1" w:rsidRDefault="00E60FCE" w:rsidP="00A612C2">
      <w:pPr>
        <w:spacing w:line="360" w:lineRule="auto"/>
        <w:jc w:val="both"/>
        <w:rPr>
          <w:rFonts w:ascii="Times New Roman" w:hAnsi="Times New Roman" w:cs="Times New Roman"/>
          <w:bCs/>
          <w:szCs w:val="24"/>
          <w:lang w:val="en-US"/>
        </w:rPr>
      </w:pPr>
      <w:r w:rsidRPr="00F63CF0">
        <w:rPr>
          <w:rFonts w:ascii="Times New Roman" w:hAnsi="Times New Roman" w:cs="Times New Roman"/>
          <w:bCs/>
          <w:szCs w:val="24"/>
          <w:lang w:val="en-US"/>
        </w:rPr>
        <w:t xml:space="preserve">To obtain an aggregate export price index for each area/colony, the country’s commodity prices were weighted using its export mix. These </w:t>
      </w:r>
      <w:r w:rsidRPr="00F63CF0">
        <w:rPr>
          <w:rFonts w:ascii="Times New Roman" w:hAnsi="Times New Roman" w:cs="Times New Roman"/>
          <w:szCs w:val="24"/>
          <w:lang w:val="en-US"/>
        </w:rPr>
        <w:t xml:space="preserve">export weights were changed at approximately twenty-year intervals to capture long-run shifts in export composition. </w:t>
      </w:r>
      <w:r w:rsidRPr="00F63CF0">
        <w:rPr>
          <w:rFonts w:ascii="Times New Roman" w:hAnsi="Times New Roman" w:cs="Times New Roman"/>
          <w:bCs/>
          <w:szCs w:val="24"/>
          <w:lang w:val="en-US"/>
        </w:rPr>
        <w:t>Country-specific export price indices were aggregated to obtain regional series. The aggregate indices were constructed using area/colony nominal export shares. These weights were also changed at twenty-year intervals to capture the shift in each area’s contribution to the value of total African exports.</w:t>
      </w:r>
    </w:p>
    <w:p w:rsidR="0053797B" w:rsidRPr="00F63CF0" w:rsidRDefault="0053797B" w:rsidP="00A612C2">
      <w:pPr>
        <w:spacing w:line="360" w:lineRule="auto"/>
        <w:jc w:val="both"/>
        <w:rPr>
          <w:rFonts w:ascii="Times New Roman" w:hAnsi="Times New Roman" w:cs="Times New Roman"/>
          <w:bCs/>
          <w:szCs w:val="24"/>
          <w:lang w:val="en-US"/>
        </w:rPr>
      </w:pPr>
    </w:p>
    <w:p w:rsidR="006E7DB1" w:rsidRPr="00F63CF0" w:rsidRDefault="0053797B" w:rsidP="00A612C2">
      <w:pPr>
        <w:spacing w:line="360" w:lineRule="auto"/>
        <w:jc w:val="both"/>
        <w:rPr>
          <w:rFonts w:ascii="Times New Roman" w:hAnsi="Times New Roman" w:cs="Times New Roman"/>
          <w:i/>
          <w:lang w:val="en-US"/>
        </w:rPr>
      </w:pPr>
      <w:r>
        <w:rPr>
          <w:rFonts w:ascii="Times New Roman" w:hAnsi="Times New Roman" w:cs="Times New Roman"/>
          <w:i/>
          <w:lang w:val="en-US"/>
        </w:rPr>
        <w:t>Methodology</w:t>
      </w:r>
    </w:p>
    <w:p w:rsidR="0069612F" w:rsidRPr="00F63CF0" w:rsidRDefault="00A53610" w:rsidP="00A612C2">
      <w:pPr>
        <w:spacing w:line="360" w:lineRule="auto"/>
        <w:jc w:val="both"/>
        <w:rPr>
          <w:rFonts w:ascii="Times New Roman" w:hAnsi="Times New Roman" w:cs="Times New Roman"/>
          <w:lang w:val="en-US"/>
        </w:rPr>
      </w:pPr>
      <w:r w:rsidRPr="00F63CF0">
        <w:rPr>
          <w:rFonts w:ascii="Times New Roman" w:hAnsi="Times New Roman" w:cs="Times New Roman"/>
          <w:lang w:val="en-US"/>
        </w:rPr>
        <w:t xml:space="preserve">The basis for our price index is a basic </w:t>
      </w:r>
      <w:proofErr w:type="spellStart"/>
      <w:r w:rsidRPr="00F63CF0">
        <w:rPr>
          <w:rFonts w:ascii="Times New Roman" w:hAnsi="Times New Roman" w:cs="Times New Roman"/>
          <w:lang w:val="en-US"/>
        </w:rPr>
        <w:t>Laspeyres</w:t>
      </w:r>
      <w:proofErr w:type="spellEnd"/>
      <w:r w:rsidRPr="00F63CF0">
        <w:rPr>
          <w:rFonts w:ascii="Times New Roman" w:hAnsi="Times New Roman" w:cs="Times New Roman"/>
          <w:lang w:val="en-US"/>
        </w:rPr>
        <w:t xml:space="preserve"> price index. Equation (1) below captures the change in the aggregate price (</w:t>
      </w:r>
      <w:r w:rsidRPr="00F63CF0">
        <w:rPr>
          <w:rFonts w:ascii="Times New Roman" w:hAnsi="Times New Roman" w:cs="Times New Roman"/>
          <w:i/>
          <w:lang w:val="en-US"/>
        </w:rPr>
        <w:t>P</w:t>
      </w:r>
      <w:r w:rsidRPr="00F63CF0">
        <w:rPr>
          <w:rFonts w:ascii="Times New Roman" w:hAnsi="Times New Roman" w:cs="Times New Roman"/>
          <w:lang w:val="en-US"/>
        </w:rPr>
        <w:t xml:space="preserve">) of a composite basket of </w:t>
      </w:r>
      <w:r w:rsidRPr="00F63CF0">
        <w:rPr>
          <w:rFonts w:ascii="Times New Roman" w:hAnsi="Times New Roman" w:cs="Times New Roman"/>
          <w:i/>
          <w:lang w:val="en-US"/>
        </w:rPr>
        <w:t xml:space="preserve">i </w:t>
      </w:r>
      <w:r w:rsidRPr="00F63CF0">
        <w:rPr>
          <w:rFonts w:ascii="Times New Roman" w:hAnsi="Times New Roman" w:cs="Times New Roman"/>
          <w:lang w:val="en-US"/>
        </w:rPr>
        <w:t xml:space="preserve">goods between period </w:t>
      </w:r>
      <w:r w:rsidR="0053797B">
        <w:rPr>
          <w:rFonts w:ascii="Times New Roman" w:hAnsi="Times New Roman" w:cs="Times New Roman"/>
          <w:lang w:val="en-US"/>
        </w:rPr>
        <w:t>1</w:t>
      </w:r>
      <w:r w:rsidRPr="00F63CF0">
        <w:rPr>
          <w:rFonts w:ascii="Times New Roman" w:hAnsi="Times New Roman" w:cs="Times New Roman"/>
          <w:lang w:val="en-US"/>
        </w:rPr>
        <w:t xml:space="preserve"> and the base period 0; </w:t>
      </w:r>
      <w:r w:rsidRPr="00F63CF0">
        <w:rPr>
          <w:rFonts w:ascii="Times New Roman" w:hAnsi="Times New Roman" w:cs="Times New Roman"/>
          <w:i/>
          <w:lang w:val="en-US"/>
        </w:rPr>
        <w:t>p</w:t>
      </w:r>
      <w:r w:rsidRPr="00F63CF0">
        <w:rPr>
          <w:rFonts w:ascii="Times New Roman" w:hAnsi="Times New Roman" w:cs="Times New Roman"/>
          <w:lang w:val="en-US"/>
        </w:rPr>
        <w:t xml:space="preserve"> and </w:t>
      </w:r>
      <w:r w:rsidRPr="00F63CF0">
        <w:rPr>
          <w:rFonts w:ascii="Times New Roman" w:hAnsi="Times New Roman" w:cs="Times New Roman"/>
          <w:i/>
          <w:lang w:val="en-US"/>
        </w:rPr>
        <w:t>q</w:t>
      </w:r>
      <w:r w:rsidRPr="00F63CF0">
        <w:rPr>
          <w:rFonts w:ascii="Times New Roman" w:hAnsi="Times New Roman" w:cs="Times New Roman"/>
          <w:lang w:val="en-US"/>
        </w:rPr>
        <w:t xml:space="preserve"> are the price and quantity of each good </w:t>
      </w:r>
      <w:r w:rsidRPr="00F63CF0">
        <w:rPr>
          <w:rFonts w:ascii="Times New Roman" w:hAnsi="Times New Roman" w:cs="Times New Roman"/>
          <w:i/>
          <w:lang w:val="en-US"/>
        </w:rPr>
        <w:t>i</w:t>
      </w:r>
      <w:r w:rsidRPr="00F63CF0">
        <w:rPr>
          <w:rFonts w:ascii="Times New Roman" w:hAnsi="Times New Roman" w:cs="Times New Roman"/>
          <w:lang w:val="en-US"/>
        </w:rPr>
        <w:t xml:space="preserve"> respectively.</w:t>
      </w:r>
    </w:p>
    <w:p w:rsidR="001E61FC" w:rsidRPr="00F63CF0" w:rsidRDefault="001E61FC" w:rsidP="00A612C2">
      <w:pPr>
        <w:spacing w:line="360" w:lineRule="auto"/>
        <w:jc w:val="both"/>
        <w:rPr>
          <w:rFonts w:ascii="Times New Roman" w:hAnsi="Times New Roman" w:cs="Times New Roma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710"/>
      </w:tblGrid>
      <w:tr w:rsidR="00A53610" w:rsidRPr="00F63CF0" w:rsidTr="00B44CB7">
        <w:tc>
          <w:tcPr>
            <w:tcW w:w="8640" w:type="dxa"/>
          </w:tcPr>
          <w:p w:rsidR="00A53610" w:rsidRPr="00F63CF0" w:rsidRDefault="00DE1A1B" w:rsidP="00A612C2">
            <w:pPr>
              <w:spacing w:line="360" w:lineRule="auto"/>
              <w:jc w:val="both"/>
              <w:rPr>
                <w:rFonts w:ascii="Times New Roman" w:hAnsi="Times New Roman" w:cs="Times New Roman"/>
                <w:i/>
                <w:sz w:val="20"/>
              </w:rPr>
            </w:pPr>
            <m:oMathPara>
              <m:oMath>
                <m:sSup>
                  <m:sSupPr>
                    <m:ctrlPr>
                      <w:rPr>
                        <w:rFonts w:ascii="Cambria Math" w:hAnsi="Cambria Math" w:cs="Times New Roman"/>
                        <w:i/>
                        <w:sz w:val="20"/>
                      </w:rPr>
                    </m:ctrlPr>
                  </m:sSupPr>
                  <m:e>
                    <m:r>
                      <w:rPr>
                        <w:rFonts w:ascii="Cambria Math" w:hAnsi="Cambria Math" w:cs="Times New Roman"/>
                        <w:sz w:val="20"/>
                      </w:rPr>
                      <m:t>P</m:t>
                    </m:r>
                  </m:e>
                  <m:sup>
                    <m:r>
                      <w:rPr>
                        <w:rFonts w:ascii="Cambria Math" w:hAnsi="Cambria Math" w:cs="Times New Roman"/>
                        <w:sz w:val="20"/>
                      </w:rPr>
                      <m:t>L</m:t>
                    </m:r>
                  </m:sup>
                </m:sSup>
                <m:r>
                  <w:rPr>
                    <w:rFonts w:ascii="Cambria Math" w:hAnsi="Cambria Math" w:cs="Times New Roman"/>
                    <w:sz w:val="20"/>
                  </w:rPr>
                  <m:t>=</m:t>
                </m:r>
                <m:nary>
                  <m:naryPr>
                    <m:chr m:val="∑"/>
                    <m:supHide m:val="1"/>
                    <m:ctrlPr>
                      <w:rPr>
                        <w:rFonts w:ascii="Cambria Math" w:hAnsi="Cambria Math" w:cs="Times New Roman"/>
                        <w:i/>
                        <w:sz w:val="20"/>
                      </w:rPr>
                    </m:ctrlPr>
                  </m:naryPr>
                  <m:sub>
                    <m:r>
                      <w:rPr>
                        <w:rFonts w:ascii="Cambria Math" w:hAnsi="Cambria Math" w:cs="Times New Roman"/>
                        <w:sz w:val="20"/>
                      </w:rPr>
                      <m:t>i</m:t>
                    </m:r>
                  </m:sub>
                  <m:sup/>
                  <m:e>
                    <m:f>
                      <m:fPr>
                        <m:ctrlPr>
                          <w:rPr>
                            <w:rFonts w:ascii="Cambria Math" w:hAnsi="Cambria Math" w:cs="Times New Roman"/>
                            <w:i/>
                            <w:sz w:val="20"/>
                          </w:rPr>
                        </m:ctrlPr>
                      </m:fPr>
                      <m:num>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i1</m:t>
                            </m:r>
                          </m:sub>
                        </m:sSub>
                        <m:sSub>
                          <m:sSubPr>
                            <m:ctrlPr>
                              <w:rPr>
                                <w:rFonts w:ascii="Cambria Math" w:hAnsi="Cambria Math" w:cs="Times New Roman"/>
                                <w:i/>
                                <w:sz w:val="20"/>
                              </w:rPr>
                            </m:ctrlPr>
                          </m:sSubPr>
                          <m:e>
                            <m:r>
                              <w:rPr>
                                <w:rFonts w:ascii="Cambria Math" w:hAnsi="Cambria Math" w:cs="Times New Roman"/>
                                <w:sz w:val="20"/>
                              </w:rPr>
                              <m:t>⋅q</m:t>
                            </m:r>
                          </m:e>
                          <m:sub>
                            <m:r>
                              <w:rPr>
                                <w:rFonts w:ascii="Cambria Math" w:hAnsi="Cambria Math" w:cs="Times New Roman"/>
                                <w:sz w:val="20"/>
                              </w:rPr>
                              <m:t>i0</m:t>
                            </m:r>
                          </m:sub>
                        </m:sSub>
                      </m:num>
                      <m:den>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i0</m:t>
                            </m:r>
                          </m:sub>
                        </m:sSub>
                        <m:sSub>
                          <m:sSubPr>
                            <m:ctrlPr>
                              <w:rPr>
                                <w:rFonts w:ascii="Cambria Math" w:hAnsi="Cambria Math" w:cs="Times New Roman"/>
                                <w:i/>
                                <w:sz w:val="20"/>
                              </w:rPr>
                            </m:ctrlPr>
                          </m:sSubPr>
                          <m:e>
                            <m:r>
                              <w:rPr>
                                <w:rFonts w:ascii="Cambria Math" w:hAnsi="Cambria Math" w:cs="Times New Roman"/>
                                <w:sz w:val="20"/>
                              </w:rPr>
                              <m:t>⋅q</m:t>
                            </m:r>
                          </m:e>
                          <m:sub>
                            <m:r>
                              <w:rPr>
                                <w:rFonts w:ascii="Cambria Math" w:hAnsi="Cambria Math" w:cs="Times New Roman"/>
                                <w:sz w:val="20"/>
                              </w:rPr>
                              <m:t>i0</m:t>
                            </m:r>
                          </m:sub>
                        </m:sSub>
                      </m:den>
                    </m:f>
                    <m:r>
                      <w:rPr>
                        <w:rFonts w:ascii="Cambria Math" w:hAnsi="Cambria Math" w:cs="Times New Roman"/>
                        <w:sz w:val="20"/>
                      </w:rPr>
                      <m:t>=</m:t>
                    </m:r>
                    <m:nary>
                      <m:naryPr>
                        <m:chr m:val="∑"/>
                        <m:supHide m:val="1"/>
                        <m:ctrlPr>
                          <w:rPr>
                            <w:rFonts w:ascii="Cambria Math" w:hAnsi="Cambria Math" w:cs="Times New Roman"/>
                            <w:i/>
                            <w:sz w:val="20"/>
                          </w:rPr>
                        </m:ctrlPr>
                      </m:naryPr>
                      <m:sub>
                        <m:r>
                          <w:rPr>
                            <w:rFonts w:ascii="Cambria Math" w:hAnsi="Cambria Math" w:cs="Times New Roman"/>
                            <w:sz w:val="20"/>
                          </w:rPr>
                          <m:t>i</m:t>
                        </m:r>
                      </m:sub>
                      <m:sup/>
                      <m:e>
                        <m:f>
                          <m:fPr>
                            <m:ctrlPr>
                              <w:rPr>
                                <w:rFonts w:ascii="Cambria Math" w:hAnsi="Cambria Math" w:cs="Times New Roman"/>
                                <w:i/>
                                <w:sz w:val="20"/>
                              </w:rPr>
                            </m:ctrlPr>
                          </m:fPr>
                          <m:num>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i</m:t>
                                </m:r>
                                <m:r>
                                  <w:rPr>
                                    <w:rFonts w:ascii="Cambria Math" w:hAnsi="Cambria Math" w:cs="Times New Roman"/>
                                    <w:sz w:val="20"/>
                                  </w:rPr>
                                  <m:t>1</m:t>
                                </m:r>
                              </m:sub>
                            </m:sSub>
                          </m:num>
                          <m:den>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i0</m:t>
                                </m:r>
                              </m:sub>
                            </m:sSub>
                          </m:den>
                        </m:f>
                        <m:sSub>
                          <m:sSubPr>
                            <m:ctrlPr>
                              <w:rPr>
                                <w:rFonts w:ascii="Cambria Math" w:hAnsi="Cambria Math" w:cs="Times New Roman"/>
                                <w:i/>
                                <w:sz w:val="20"/>
                              </w:rPr>
                            </m:ctrlPr>
                          </m:sSubPr>
                          <m:e>
                            <m:r>
                              <w:rPr>
                                <w:rFonts w:ascii="Cambria Math" w:hAnsi="Cambria Math" w:cs="Times New Roman"/>
                                <w:sz w:val="20"/>
                              </w:rPr>
                              <m:t>s</m:t>
                            </m:r>
                          </m:e>
                          <m:sub>
                            <m:r>
                              <w:rPr>
                                <w:rFonts w:ascii="Cambria Math" w:hAnsi="Cambria Math" w:cs="Times New Roman"/>
                                <w:sz w:val="20"/>
                              </w:rPr>
                              <m:t>i0</m:t>
                            </m:r>
                          </m:sub>
                        </m:sSub>
                      </m:e>
                    </m:nary>
                  </m:e>
                </m:nary>
              </m:oMath>
            </m:oMathPara>
          </w:p>
        </w:tc>
        <w:tc>
          <w:tcPr>
            <w:tcW w:w="710" w:type="dxa"/>
            <w:vAlign w:val="center"/>
          </w:tcPr>
          <w:p w:rsidR="00A53610" w:rsidRPr="00F63CF0" w:rsidRDefault="00A53610" w:rsidP="00A612C2">
            <w:pPr>
              <w:spacing w:line="360" w:lineRule="auto"/>
              <w:jc w:val="both"/>
              <w:rPr>
                <w:rFonts w:ascii="Times New Roman" w:hAnsi="Times New Roman" w:cs="Times New Roman"/>
                <w:lang w:val="en-US"/>
              </w:rPr>
            </w:pPr>
            <w:r w:rsidRPr="00F63CF0">
              <w:rPr>
                <w:rFonts w:ascii="Times New Roman" w:hAnsi="Times New Roman" w:cs="Times New Roman"/>
                <w:lang w:val="en-US"/>
              </w:rPr>
              <w:t>(1)</w:t>
            </w:r>
          </w:p>
        </w:tc>
      </w:tr>
    </w:tbl>
    <w:p w:rsidR="001E61FC" w:rsidRPr="00F63CF0" w:rsidRDefault="001E61FC" w:rsidP="00A612C2">
      <w:pPr>
        <w:spacing w:line="360" w:lineRule="auto"/>
        <w:ind w:firstLine="720"/>
        <w:jc w:val="both"/>
        <w:rPr>
          <w:rFonts w:ascii="Times New Roman" w:hAnsi="Times New Roman" w:cs="Times New Roman"/>
          <w:lang w:val="en-US"/>
        </w:rPr>
      </w:pPr>
    </w:p>
    <w:p w:rsidR="00594998" w:rsidRPr="00F63CF0" w:rsidRDefault="00A53610" w:rsidP="00A612C2">
      <w:pPr>
        <w:spacing w:line="360" w:lineRule="auto"/>
        <w:ind w:firstLine="720"/>
        <w:jc w:val="both"/>
        <w:rPr>
          <w:rFonts w:ascii="Times New Roman" w:hAnsi="Times New Roman" w:cs="Times New Roman"/>
          <w:lang w:val="en-US"/>
        </w:rPr>
      </w:pPr>
      <w:r w:rsidRPr="00F63CF0">
        <w:rPr>
          <w:rFonts w:ascii="Times New Roman" w:hAnsi="Times New Roman" w:cs="Times New Roman"/>
          <w:lang w:val="en-US"/>
        </w:rPr>
        <w:t xml:space="preserve">The fixed-weight price index is thus the ratio of the total value of goods in base period 0 measured at periods </w:t>
      </w:r>
      <w:r w:rsidR="00670E55">
        <w:rPr>
          <w:rFonts w:ascii="Times New Roman" w:hAnsi="Times New Roman" w:cs="Times New Roman"/>
          <w:lang w:val="en-US"/>
        </w:rPr>
        <w:t>1</w:t>
      </w:r>
      <w:r w:rsidRPr="00F63CF0">
        <w:rPr>
          <w:rFonts w:ascii="Times New Roman" w:hAnsi="Times New Roman" w:cs="Times New Roman"/>
          <w:lang w:val="en-US"/>
        </w:rPr>
        <w:t xml:space="preserve">’s prices to the total value of goods in the base period itself. </w:t>
      </w:r>
      <w:r w:rsidR="005364DC" w:rsidRPr="00F63CF0">
        <w:rPr>
          <w:rFonts w:ascii="Times New Roman" w:hAnsi="Times New Roman" w:cs="Times New Roman"/>
          <w:lang w:val="en-US"/>
        </w:rPr>
        <w:t xml:space="preserve">Or, alternatively, as the change in prices for good </w:t>
      </w:r>
      <w:r w:rsidR="005364DC" w:rsidRPr="00F63CF0">
        <w:rPr>
          <w:rFonts w:ascii="Times New Roman" w:hAnsi="Times New Roman" w:cs="Times New Roman"/>
          <w:i/>
          <w:lang w:val="en-US"/>
        </w:rPr>
        <w:t>i</w:t>
      </w:r>
      <w:r w:rsidR="005364DC" w:rsidRPr="00F63CF0">
        <w:rPr>
          <w:rFonts w:ascii="Times New Roman" w:hAnsi="Times New Roman" w:cs="Times New Roman"/>
          <w:lang w:val="en-US"/>
        </w:rPr>
        <w:t xml:space="preserve"> weighted by the value share (</w:t>
      </w:r>
      <w:r w:rsidR="005364DC" w:rsidRPr="00F63CF0">
        <w:rPr>
          <w:rFonts w:ascii="Times New Roman" w:hAnsi="Times New Roman" w:cs="Times New Roman"/>
          <w:i/>
          <w:lang w:val="en-US"/>
        </w:rPr>
        <w:t>s</w:t>
      </w:r>
      <w:r w:rsidR="005364DC" w:rsidRPr="00F63CF0">
        <w:rPr>
          <w:rFonts w:ascii="Times New Roman" w:hAnsi="Times New Roman" w:cs="Times New Roman"/>
          <w:lang w:val="en-US"/>
        </w:rPr>
        <w:t xml:space="preserve">) of product </w:t>
      </w:r>
      <w:r w:rsidR="005364DC" w:rsidRPr="00F63CF0">
        <w:rPr>
          <w:rFonts w:ascii="Times New Roman" w:hAnsi="Times New Roman" w:cs="Times New Roman"/>
          <w:i/>
          <w:lang w:val="en-US"/>
        </w:rPr>
        <w:t>i</w:t>
      </w:r>
      <w:r w:rsidR="00594998" w:rsidRPr="00F63CF0">
        <w:rPr>
          <w:rFonts w:ascii="Times New Roman" w:hAnsi="Times New Roman" w:cs="Times New Roman"/>
          <w:lang w:val="en-US"/>
        </w:rPr>
        <w:t>; where</w:t>
      </w:r>
    </w:p>
    <w:p w:rsidR="001E61FC" w:rsidRPr="00F63CF0" w:rsidRDefault="001E61FC" w:rsidP="00A612C2">
      <w:pPr>
        <w:spacing w:line="360" w:lineRule="auto"/>
        <w:ind w:firstLine="720"/>
        <w:jc w:val="both"/>
        <w:rPr>
          <w:rFonts w:ascii="Times New Roman" w:hAnsi="Times New Roman" w:cs="Times New Roma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710"/>
      </w:tblGrid>
      <w:tr w:rsidR="00594998" w:rsidRPr="00F63CF0" w:rsidTr="00B44CB7">
        <w:tc>
          <w:tcPr>
            <w:tcW w:w="8640" w:type="dxa"/>
          </w:tcPr>
          <w:p w:rsidR="00594998" w:rsidRPr="00F63CF0" w:rsidRDefault="00DE1A1B" w:rsidP="00A612C2">
            <w:pPr>
              <w:spacing w:line="360" w:lineRule="auto"/>
              <w:jc w:val="both"/>
              <w:rPr>
                <w:rFonts w:ascii="Times New Roman" w:hAnsi="Times New Roman" w:cs="Times New Roman"/>
                <w:i/>
                <w:sz w:val="20"/>
              </w:rPr>
            </w:pPr>
            <m:oMathPara>
              <m:oMath>
                <m:sSub>
                  <m:sSubPr>
                    <m:ctrlPr>
                      <w:rPr>
                        <w:rFonts w:ascii="Cambria Math" w:hAnsi="Cambria Math" w:cs="Times New Roman"/>
                        <w:i/>
                        <w:lang w:val="en-US"/>
                      </w:rPr>
                    </m:ctrlPr>
                  </m:sSubPr>
                  <m:e>
                    <m:r>
                      <w:rPr>
                        <w:rFonts w:ascii="Cambria Math" w:hAnsi="Cambria Math" w:cs="Times New Roman"/>
                        <w:lang w:val="en-US"/>
                      </w:rPr>
                      <m:t>s</m:t>
                    </m:r>
                  </m:e>
                  <m:sub>
                    <m:r>
                      <w:rPr>
                        <w:rFonts w:ascii="Cambria Math" w:hAnsi="Cambria Math" w:cs="Times New Roman"/>
                        <w:lang w:val="en-US"/>
                      </w:rPr>
                      <m:t>i0</m:t>
                    </m:r>
                  </m:sub>
                </m:sSub>
                <m:r>
                  <w:rPr>
                    <w:rFonts w:ascii="Cambria Math" w:hAnsi="Cambria Math" w:cs="Times New Roman"/>
                    <w:lang w:val="en-US"/>
                  </w:rPr>
                  <m:t xml:space="preserve">= </m:t>
                </m:r>
                <m:f>
                  <m:fPr>
                    <m:ctrlPr>
                      <w:rPr>
                        <w:rFonts w:ascii="Cambria Math" w:hAnsi="Cambria Math" w:cs="Times New Roman"/>
                        <w:i/>
                        <w:lang w:val="en-US"/>
                      </w:rPr>
                    </m:ctrlPr>
                  </m:fPr>
                  <m:num>
                    <m:sSub>
                      <m:sSubPr>
                        <m:ctrlPr>
                          <w:rPr>
                            <w:rFonts w:ascii="Cambria Math" w:hAnsi="Cambria Math" w:cs="Times New Roman"/>
                            <w:i/>
                            <w:lang w:val="en-US"/>
                          </w:rPr>
                        </m:ctrlPr>
                      </m:sSubPr>
                      <m:e>
                        <m:r>
                          <w:rPr>
                            <w:rFonts w:ascii="Cambria Math" w:hAnsi="Cambria Math" w:cs="Times New Roman"/>
                            <w:lang w:val="en-US"/>
                          </w:rPr>
                          <m:t>p</m:t>
                        </m:r>
                      </m:e>
                      <m:sub>
                        <m:r>
                          <w:rPr>
                            <w:rFonts w:ascii="Cambria Math" w:hAnsi="Cambria Math" w:cs="Times New Roman"/>
                            <w:lang w:val="en-US"/>
                          </w:rPr>
                          <m:t>i0</m:t>
                        </m:r>
                      </m:sub>
                    </m:sSub>
                    <m:r>
                      <w:rPr>
                        <w:rFonts w:ascii="Cambria Math" w:hAnsi="Cambria Math" w:cs="Times New Roman"/>
                        <w:lang w:val="en-US"/>
                      </w:rPr>
                      <m:t>⋅</m:t>
                    </m:r>
                    <m:sSub>
                      <m:sSubPr>
                        <m:ctrlPr>
                          <w:rPr>
                            <w:rFonts w:ascii="Cambria Math" w:hAnsi="Cambria Math" w:cs="Times New Roman"/>
                            <w:i/>
                            <w:lang w:val="en-US"/>
                          </w:rPr>
                        </m:ctrlPr>
                      </m:sSubPr>
                      <m:e>
                        <m:r>
                          <w:rPr>
                            <w:rFonts w:ascii="Cambria Math" w:hAnsi="Cambria Math" w:cs="Times New Roman"/>
                            <w:lang w:val="en-US"/>
                          </w:rPr>
                          <m:t>q</m:t>
                        </m:r>
                      </m:e>
                      <m:sub>
                        <m:r>
                          <w:rPr>
                            <w:rFonts w:ascii="Cambria Math" w:hAnsi="Cambria Math" w:cs="Times New Roman"/>
                            <w:lang w:val="en-US"/>
                          </w:rPr>
                          <m:t>i0</m:t>
                        </m:r>
                      </m:sub>
                    </m:sSub>
                  </m:num>
                  <m:den>
                    <m:nary>
                      <m:naryPr>
                        <m:chr m:val="∑"/>
                        <m:supHide m:val="1"/>
                        <m:ctrlPr>
                          <w:rPr>
                            <w:rFonts w:ascii="Cambria Math" w:hAnsi="Cambria Math" w:cs="Times New Roman"/>
                            <w:i/>
                            <w:lang w:val="en-US"/>
                          </w:rPr>
                        </m:ctrlPr>
                      </m:naryPr>
                      <m:sub>
                        <m:r>
                          <w:rPr>
                            <w:rFonts w:ascii="Cambria Math" w:hAnsi="Cambria Math" w:cs="Times New Roman"/>
                            <w:lang w:val="en-US"/>
                          </w:rPr>
                          <m:t>i</m:t>
                        </m:r>
                      </m:sub>
                      <m:sup/>
                      <m:e>
                        <m:sSub>
                          <m:sSubPr>
                            <m:ctrlPr>
                              <w:rPr>
                                <w:rFonts w:ascii="Cambria Math" w:hAnsi="Cambria Math" w:cs="Times New Roman"/>
                                <w:i/>
                                <w:lang w:val="en-US"/>
                              </w:rPr>
                            </m:ctrlPr>
                          </m:sSubPr>
                          <m:e>
                            <m:r>
                              <w:rPr>
                                <w:rFonts w:ascii="Cambria Math" w:hAnsi="Cambria Math" w:cs="Times New Roman"/>
                                <w:lang w:val="en-US"/>
                              </w:rPr>
                              <m:t>p</m:t>
                            </m:r>
                          </m:e>
                          <m:sub>
                            <m:r>
                              <w:rPr>
                                <w:rFonts w:ascii="Cambria Math" w:hAnsi="Cambria Math" w:cs="Times New Roman"/>
                                <w:lang w:val="en-US"/>
                              </w:rPr>
                              <m:t>i0</m:t>
                            </m:r>
                          </m:sub>
                        </m:sSub>
                        <m:r>
                          <w:rPr>
                            <w:rFonts w:ascii="Cambria Math" w:hAnsi="Cambria Math" w:cs="Times New Roman"/>
                            <w:lang w:val="en-US"/>
                          </w:rPr>
                          <m:t>⋅</m:t>
                        </m:r>
                        <m:sSub>
                          <m:sSubPr>
                            <m:ctrlPr>
                              <w:rPr>
                                <w:rFonts w:ascii="Cambria Math" w:hAnsi="Cambria Math" w:cs="Times New Roman"/>
                                <w:i/>
                                <w:lang w:val="en-US"/>
                              </w:rPr>
                            </m:ctrlPr>
                          </m:sSubPr>
                          <m:e>
                            <m:r>
                              <w:rPr>
                                <w:rFonts w:ascii="Cambria Math" w:hAnsi="Cambria Math" w:cs="Times New Roman"/>
                                <w:lang w:val="en-US"/>
                              </w:rPr>
                              <m:t>q</m:t>
                            </m:r>
                          </m:e>
                          <m:sub>
                            <m:r>
                              <w:rPr>
                                <w:rFonts w:ascii="Cambria Math" w:hAnsi="Cambria Math" w:cs="Times New Roman"/>
                                <w:lang w:val="en-US"/>
                              </w:rPr>
                              <m:t>i0</m:t>
                            </m:r>
                          </m:sub>
                        </m:sSub>
                      </m:e>
                    </m:nary>
                  </m:den>
                </m:f>
              </m:oMath>
            </m:oMathPara>
          </w:p>
        </w:tc>
        <w:tc>
          <w:tcPr>
            <w:tcW w:w="710" w:type="dxa"/>
            <w:vAlign w:val="center"/>
          </w:tcPr>
          <w:p w:rsidR="00594998" w:rsidRPr="00F63CF0" w:rsidRDefault="00594998" w:rsidP="00A612C2">
            <w:pPr>
              <w:spacing w:line="360" w:lineRule="auto"/>
              <w:jc w:val="both"/>
              <w:rPr>
                <w:rFonts w:ascii="Times New Roman" w:hAnsi="Times New Roman" w:cs="Times New Roman"/>
                <w:lang w:val="en-US"/>
              </w:rPr>
            </w:pPr>
            <w:r w:rsidRPr="00F63CF0">
              <w:rPr>
                <w:rFonts w:ascii="Times New Roman" w:hAnsi="Times New Roman" w:cs="Times New Roman"/>
                <w:lang w:val="en-US"/>
              </w:rPr>
              <w:t>(2)</w:t>
            </w:r>
          </w:p>
        </w:tc>
      </w:tr>
    </w:tbl>
    <w:p w:rsidR="001E61FC" w:rsidRPr="00F63CF0" w:rsidRDefault="001E61FC" w:rsidP="00A612C2">
      <w:pPr>
        <w:spacing w:line="360" w:lineRule="auto"/>
        <w:ind w:firstLine="720"/>
        <w:jc w:val="both"/>
        <w:rPr>
          <w:rFonts w:ascii="Times New Roman" w:hAnsi="Times New Roman" w:cs="Times New Roman"/>
          <w:lang w:val="en-US"/>
        </w:rPr>
      </w:pPr>
    </w:p>
    <w:p w:rsidR="00594998" w:rsidRPr="00F63CF0" w:rsidRDefault="00A53610" w:rsidP="00A612C2">
      <w:pPr>
        <w:spacing w:line="360" w:lineRule="auto"/>
        <w:ind w:firstLine="720"/>
        <w:jc w:val="both"/>
        <w:rPr>
          <w:rFonts w:ascii="Times New Roman" w:hAnsi="Times New Roman" w:cs="Times New Roman"/>
          <w:lang w:val="en-US"/>
        </w:rPr>
      </w:pPr>
      <w:r w:rsidRPr="00F63CF0">
        <w:rPr>
          <w:rFonts w:ascii="Times New Roman" w:hAnsi="Times New Roman" w:cs="Times New Roman"/>
          <w:lang w:val="en-US"/>
        </w:rPr>
        <w:t xml:space="preserve">In this </w:t>
      </w:r>
      <w:proofErr w:type="spellStart"/>
      <w:r w:rsidRPr="00F63CF0">
        <w:rPr>
          <w:rFonts w:ascii="Times New Roman" w:hAnsi="Times New Roman" w:cs="Times New Roman"/>
          <w:lang w:val="en-US"/>
        </w:rPr>
        <w:t>Laspeyres</w:t>
      </w:r>
      <w:proofErr w:type="spellEnd"/>
      <w:r w:rsidRPr="00F63CF0">
        <w:rPr>
          <w:rFonts w:ascii="Times New Roman" w:hAnsi="Times New Roman" w:cs="Times New Roman"/>
          <w:lang w:val="en-US"/>
        </w:rPr>
        <w:t xml:space="preserve"> index, only </w:t>
      </w:r>
      <w:r w:rsidR="005364DC" w:rsidRPr="00F63CF0">
        <w:rPr>
          <w:rFonts w:ascii="Times New Roman" w:hAnsi="Times New Roman" w:cs="Times New Roman"/>
          <w:lang w:val="en-US"/>
        </w:rPr>
        <w:t>value shares</w:t>
      </w:r>
      <w:r w:rsidRPr="00F63CF0">
        <w:rPr>
          <w:rFonts w:ascii="Times New Roman" w:hAnsi="Times New Roman" w:cs="Times New Roman"/>
          <w:lang w:val="en-US"/>
        </w:rPr>
        <w:t xml:space="preserve"> for period 0 factor into the equation making it particularly sensitive to the choice of base-period. When there are substantial price</w:t>
      </w:r>
      <w:r w:rsidR="005364DC" w:rsidRPr="00F63CF0">
        <w:rPr>
          <w:rFonts w:ascii="Times New Roman" w:hAnsi="Times New Roman" w:cs="Times New Roman"/>
          <w:lang w:val="en-US"/>
        </w:rPr>
        <w:t xml:space="preserve"> or quantity</w:t>
      </w:r>
      <w:r w:rsidRPr="00F63CF0">
        <w:rPr>
          <w:rFonts w:ascii="Times New Roman" w:hAnsi="Times New Roman" w:cs="Times New Roman"/>
          <w:lang w:val="en-US"/>
        </w:rPr>
        <w:t xml:space="preserve"> changes over time, picking a different base year could significantly alter the results. Equation (</w:t>
      </w:r>
      <w:r w:rsidR="00594998" w:rsidRPr="00F63CF0">
        <w:rPr>
          <w:rFonts w:ascii="Times New Roman" w:hAnsi="Times New Roman" w:cs="Times New Roman"/>
          <w:lang w:val="en-US"/>
        </w:rPr>
        <w:t>3</w:t>
      </w:r>
      <w:r w:rsidRPr="00F63CF0">
        <w:rPr>
          <w:rFonts w:ascii="Times New Roman" w:hAnsi="Times New Roman" w:cs="Times New Roman"/>
          <w:lang w:val="en-US"/>
        </w:rPr>
        <w:t xml:space="preserve">) addresses this issue by </w:t>
      </w:r>
      <w:r w:rsidR="00594998" w:rsidRPr="00F63CF0">
        <w:rPr>
          <w:rFonts w:ascii="Times New Roman" w:hAnsi="Times New Roman" w:cs="Times New Roman"/>
          <w:lang w:val="en-US"/>
        </w:rPr>
        <w:t>using the average value share (</w:t>
      </w:r>
      <m:oMath>
        <m:acc>
          <m:accPr>
            <m:chr m:val="̅"/>
            <m:ctrlPr>
              <w:rPr>
                <w:rFonts w:ascii="Cambria Math" w:hAnsi="Cambria Math" w:cs="Times New Roman"/>
                <w:i/>
                <w:lang w:val="en-US"/>
              </w:rPr>
            </m:ctrlPr>
          </m:accPr>
          <m:e>
            <m:r>
              <w:rPr>
                <w:rFonts w:ascii="Cambria Math" w:hAnsi="Cambria Math" w:cs="Times New Roman"/>
                <w:lang w:val="en-US"/>
              </w:rPr>
              <m:t>s</m:t>
            </m:r>
          </m:e>
        </m:acc>
      </m:oMath>
      <w:r w:rsidR="00594998" w:rsidRPr="00F63CF0">
        <w:rPr>
          <w:rFonts w:ascii="Times New Roman" w:hAnsi="Times New Roman" w:cs="Times New Roman"/>
          <w:lang w:val="en-US"/>
        </w:rPr>
        <w:t>) over a time span of several years</w:t>
      </w:r>
      <w:r w:rsidR="004E1995" w:rsidRPr="00F63CF0">
        <w:rPr>
          <w:rFonts w:ascii="Times New Roman" w:hAnsi="Times New Roman" w:cs="Times New Roman"/>
          <w:lang w:val="en-US"/>
        </w:rPr>
        <w:t xml:space="preserve"> (</w:t>
      </w:r>
      <w:r w:rsidR="004E1995" w:rsidRPr="00F63CF0">
        <w:rPr>
          <w:rFonts w:ascii="Times New Roman" w:hAnsi="Times New Roman" w:cs="Times New Roman"/>
          <w:i/>
          <w:lang w:val="en-US"/>
        </w:rPr>
        <w:t>T</w:t>
      </w:r>
      <w:r w:rsidR="004E1995" w:rsidRPr="00F63CF0">
        <w:rPr>
          <w:rFonts w:ascii="Times New Roman" w:hAnsi="Times New Roman" w:cs="Times New Roman"/>
          <w:lang w:val="en-US"/>
        </w:rPr>
        <w:t>)</w:t>
      </w:r>
      <w:r w:rsidR="001E61FC" w:rsidRPr="00F63CF0">
        <w:rPr>
          <w:rFonts w:ascii="Times New Roman" w:hAnsi="Times New Roman" w:cs="Times New Roman"/>
          <w:lang w:val="en-US"/>
        </w:rPr>
        <w:t>.</w:t>
      </w:r>
    </w:p>
    <w:p w:rsidR="001E61FC" w:rsidRPr="00F63CF0" w:rsidRDefault="001E61FC" w:rsidP="00A612C2">
      <w:pPr>
        <w:spacing w:line="360" w:lineRule="auto"/>
        <w:ind w:firstLine="720"/>
        <w:jc w:val="both"/>
        <w:rPr>
          <w:rFonts w:ascii="Times New Roman" w:hAnsi="Times New Roman" w:cs="Times New Roma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710"/>
      </w:tblGrid>
      <w:tr w:rsidR="00594998" w:rsidRPr="00F63CF0" w:rsidTr="00B44CB7">
        <w:tc>
          <w:tcPr>
            <w:tcW w:w="8640" w:type="dxa"/>
          </w:tcPr>
          <w:p w:rsidR="00594998" w:rsidRPr="00F63CF0" w:rsidRDefault="00594998" w:rsidP="00A612C2">
            <w:pPr>
              <w:spacing w:line="360" w:lineRule="auto"/>
              <w:jc w:val="both"/>
              <w:rPr>
                <w:rFonts w:ascii="Times New Roman" w:hAnsi="Times New Roman" w:cs="Times New Roman"/>
                <w:i/>
                <w:sz w:val="20"/>
              </w:rPr>
            </w:pPr>
            <m:oMathPara>
              <m:oMath>
                <m:r>
                  <w:rPr>
                    <w:rFonts w:ascii="Cambria Math" w:hAnsi="Cambria Math" w:cs="Times New Roman"/>
                    <w:sz w:val="20"/>
                  </w:rPr>
                  <w:lastRenderedPageBreak/>
                  <m:t>P=</m:t>
                </m:r>
                <m:nary>
                  <m:naryPr>
                    <m:chr m:val="∑"/>
                    <m:supHide m:val="1"/>
                    <m:ctrlPr>
                      <w:rPr>
                        <w:rFonts w:ascii="Cambria Math" w:hAnsi="Cambria Math" w:cs="Times New Roman"/>
                        <w:i/>
                        <w:sz w:val="20"/>
                      </w:rPr>
                    </m:ctrlPr>
                  </m:naryPr>
                  <m:sub>
                    <m:r>
                      <w:rPr>
                        <w:rFonts w:ascii="Cambria Math" w:hAnsi="Cambria Math" w:cs="Times New Roman"/>
                        <w:sz w:val="20"/>
                      </w:rPr>
                      <m:t>i</m:t>
                    </m:r>
                  </m:sub>
                  <m:sup/>
                  <m:e>
                    <m:f>
                      <m:fPr>
                        <m:ctrlPr>
                          <w:rPr>
                            <w:rFonts w:ascii="Cambria Math" w:hAnsi="Cambria Math" w:cs="Times New Roman"/>
                            <w:i/>
                            <w:sz w:val="20"/>
                          </w:rPr>
                        </m:ctrlPr>
                      </m:fPr>
                      <m:num>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i1</m:t>
                            </m:r>
                          </m:sub>
                        </m:sSub>
                      </m:num>
                      <m:den>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i0</m:t>
                            </m:r>
                          </m:sub>
                        </m:sSub>
                      </m:den>
                    </m:f>
                    <m:sSub>
                      <m:sSubPr>
                        <m:ctrlPr>
                          <w:rPr>
                            <w:rFonts w:ascii="Cambria Math" w:hAnsi="Cambria Math" w:cs="Times New Roman"/>
                            <w:i/>
                            <w:sz w:val="20"/>
                          </w:rPr>
                        </m:ctrlPr>
                      </m:sSubPr>
                      <m:e>
                        <m:acc>
                          <m:accPr>
                            <m:chr m:val="̅"/>
                            <m:ctrlPr>
                              <w:rPr>
                                <w:rFonts w:ascii="Cambria Math" w:hAnsi="Cambria Math" w:cs="Times New Roman"/>
                                <w:i/>
                                <w:sz w:val="20"/>
                              </w:rPr>
                            </m:ctrlPr>
                          </m:accPr>
                          <m:e>
                            <m:r>
                              <w:rPr>
                                <w:rFonts w:ascii="Cambria Math" w:hAnsi="Cambria Math" w:cs="Times New Roman"/>
                                <w:sz w:val="20"/>
                              </w:rPr>
                              <m:t>s</m:t>
                            </m:r>
                          </m:e>
                        </m:acc>
                      </m:e>
                      <m:sub>
                        <m:r>
                          <w:rPr>
                            <w:rFonts w:ascii="Cambria Math" w:hAnsi="Cambria Math" w:cs="Times New Roman"/>
                            <w:sz w:val="20"/>
                          </w:rPr>
                          <m:t>i</m:t>
                        </m:r>
                      </m:sub>
                    </m:sSub>
                  </m:e>
                </m:nary>
              </m:oMath>
            </m:oMathPara>
          </w:p>
        </w:tc>
        <w:tc>
          <w:tcPr>
            <w:tcW w:w="710" w:type="dxa"/>
            <w:vAlign w:val="center"/>
          </w:tcPr>
          <w:p w:rsidR="00594998" w:rsidRPr="00F63CF0" w:rsidRDefault="00594998" w:rsidP="00A612C2">
            <w:pPr>
              <w:spacing w:line="360" w:lineRule="auto"/>
              <w:jc w:val="both"/>
              <w:rPr>
                <w:rFonts w:ascii="Times New Roman" w:hAnsi="Times New Roman" w:cs="Times New Roman"/>
                <w:lang w:val="en-US"/>
              </w:rPr>
            </w:pPr>
            <w:r w:rsidRPr="00F63CF0">
              <w:rPr>
                <w:rFonts w:ascii="Times New Roman" w:hAnsi="Times New Roman" w:cs="Times New Roman"/>
                <w:lang w:val="en-US"/>
              </w:rPr>
              <w:t>(3)</w:t>
            </w:r>
          </w:p>
        </w:tc>
      </w:tr>
    </w:tbl>
    <w:p w:rsidR="001E61FC" w:rsidRPr="00F63CF0" w:rsidRDefault="001E61FC" w:rsidP="00A612C2">
      <w:pPr>
        <w:spacing w:line="360" w:lineRule="auto"/>
        <w:ind w:firstLine="720"/>
        <w:jc w:val="both"/>
        <w:rPr>
          <w:rFonts w:ascii="Times New Roman" w:hAnsi="Times New Roman" w:cs="Times New Roman"/>
          <w:lang w:val="en-US"/>
        </w:rPr>
      </w:pPr>
    </w:p>
    <w:p w:rsidR="00594998" w:rsidRPr="00F63CF0" w:rsidRDefault="004E1995" w:rsidP="00A612C2">
      <w:pPr>
        <w:spacing w:line="360" w:lineRule="auto"/>
        <w:ind w:firstLine="720"/>
        <w:jc w:val="both"/>
        <w:rPr>
          <w:rFonts w:ascii="Times New Roman" w:hAnsi="Times New Roman" w:cs="Times New Roman"/>
          <w:lang w:val="en-US"/>
        </w:rPr>
      </w:pPr>
      <w:r w:rsidRPr="00F63CF0">
        <w:rPr>
          <w:rFonts w:ascii="Times New Roman" w:hAnsi="Times New Roman" w:cs="Times New Roman"/>
          <w:lang w:val="en-US"/>
        </w:rPr>
        <w:t>W</w:t>
      </w:r>
      <w:r w:rsidR="00594998" w:rsidRPr="00F63CF0">
        <w:rPr>
          <w:rFonts w:ascii="Times New Roman" w:hAnsi="Times New Roman" w:cs="Times New Roman"/>
          <w:lang w:val="en-US"/>
        </w:rPr>
        <w:t>here the average value share is given by equation (4)</w:t>
      </w:r>
      <w:r w:rsidRPr="00F63CF0">
        <w:rPr>
          <w:rFonts w:ascii="Times New Roman" w:hAnsi="Times New Roman" w:cs="Times New Roman"/>
          <w:lang w:val="en-US"/>
        </w:rPr>
        <w:t>.</w:t>
      </w:r>
    </w:p>
    <w:p w:rsidR="001E61FC" w:rsidRPr="00F63CF0" w:rsidRDefault="001E61FC" w:rsidP="00A612C2">
      <w:pPr>
        <w:spacing w:line="360" w:lineRule="auto"/>
        <w:ind w:firstLine="720"/>
        <w:jc w:val="both"/>
        <w:rPr>
          <w:rFonts w:ascii="Times New Roman" w:hAnsi="Times New Roman" w:cs="Times New Roma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710"/>
      </w:tblGrid>
      <w:tr w:rsidR="00594998" w:rsidRPr="00F63CF0" w:rsidTr="00B44CB7">
        <w:tc>
          <w:tcPr>
            <w:tcW w:w="8640" w:type="dxa"/>
          </w:tcPr>
          <w:p w:rsidR="00594998" w:rsidRPr="00F63CF0" w:rsidRDefault="00DE1A1B" w:rsidP="00A612C2">
            <w:pPr>
              <w:spacing w:line="360" w:lineRule="auto"/>
              <w:jc w:val="both"/>
              <w:rPr>
                <w:rFonts w:ascii="Times New Roman" w:hAnsi="Times New Roman" w:cs="Times New Roman"/>
                <w:i/>
                <w:sz w:val="20"/>
              </w:rPr>
            </w:pPr>
            <m:oMathPara>
              <m:oMath>
                <m:sSub>
                  <m:sSubPr>
                    <m:ctrlPr>
                      <w:rPr>
                        <w:rFonts w:ascii="Cambria Math" w:hAnsi="Cambria Math" w:cs="Times New Roman"/>
                        <w:i/>
                        <w:lang w:val="en-US"/>
                      </w:rPr>
                    </m:ctrlPr>
                  </m:sSubPr>
                  <m:e>
                    <m:acc>
                      <m:accPr>
                        <m:chr m:val="̅"/>
                        <m:ctrlPr>
                          <w:rPr>
                            <w:rFonts w:ascii="Cambria Math" w:hAnsi="Cambria Math" w:cs="Times New Roman"/>
                            <w:i/>
                            <w:lang w:val="en-US"/>
                          </w:rPr>
                        </m:ctrlPr>
                      </m:accPr>
                      <m:e>
                        <m:r>
                          <w:rPr>
                            <w:rFonts w:ascii="Cambria Math" w:hAnsi="Cambria Math" w:cs="Times New Roman"/>
                            <w:lang w:val="en-US"/>
                          </w:rPr>
                          <m:t>s</m:t>
                        </m:r>
                      </m:e>
                    </m:acc>
                  </m:e>
                  <m:sub>
                    <m:r>
                      <w:rPr>
                        <w:rFonts w:ascii="Cambria Math" w:hAnsi="Cambria Math" w:cs="Times New Roman"/>
                        <w:lang w:val="en-US"/>
                      </w:rPr>
                      <m:t>i</m:t>
                    </m:r>
                  </m:sub>
                </m:sSub>
                <m:r>
                  <w:rPr>
                    <w:rFonts w:ascii="Cambria Math" w:hAnsi="Cambria Math" w:cs="Times New Roman"/>
                    <w:lang w:val="en-US"/>
                  </w:rPr>
                  <m:t>=</m:t>
                </m:r>
                <m:nary>
                  <m:naryPr>
                    <m:chr m:val="∑"/>
                    <m:limLoc m:val="undOvr"/>
                    <m:ctrlPr>
                      <w:rPr>
                        <w:rFonts w:ascii="Cambria Math" w:hAnsi="Cambria Math" w:cs="Times New Roman"/>
                        <w:i/>
                        <w:lang w:val="en-US"/>
                      </w:rPr>
                    </m:ctrlPr>
                  </m:naryPr>
                  <m:sub>
                    <m:r>
                      <w:rPr>
                        <w:rFonts w:ascii="Cambria Math" w:hAnsi="Cambria Math" w:cs="Times New Roman"/>
                        <w:lang w:val="en-US"/>
                      </w:rPr>
                      <m:t>t=0</m:t>
                    </m:r>
                  </m:sub>
                  <m:sup>
                    <m:r>
                      <w:rPr>
                        <w:rFonts w:ascii="Cambria Math" w:hAnsi="Cambria Math" w:cs="Times New Roman"/>
                        <w:lang w:val="en-US"/>
                      </w:rPr>
                      <m:t>T</m:t>
                    </m:r>
                  </m:sup>
                  <m:e>
                    <m:f>
                      <m:fPr>
                        <m:ctrlPr>
                          <w:rPr>
                            <w:rFonts w:ascii="Cambria Math" w:hAnsi="Cambria Math" w:cs="Times New Roman"/>
                            <w:i/>
                            <w:lang w:val="en-US"/>
                          </w:rPr>
                        </m:ctrlPr>
                      </m:fPr>
                      <m:num>
                        <m:sSub>
                          <m:sSubPr>
                            <m:ctrlPr>
                              <w:rPr>
                                <w:rFonts w:ascii="Cambria Math" w:hAnsi="Cambria Math" w:cs="Times New Roman"/>
                                <w:i/>
                                <w:lang w:val="en-US"/>
                              </w:rPr>
                            </m:ctrlPr>
                          </m:sSubPr>
                          <m:e>
                            <m:r>
                              <w:rPr>
                                <w:rFonts w:ascii="Cambria Math" w:hAnsi="Cambria Math" w:cs="Times New Roman"/>
                                <w:lang w:val="en-US"/>
                              </w:rPr>
                              <m:t>p</m:t>
                            </m:r>
                          </m:e>
                          <m:sub>
                            <m:r>
                              <w:rPr>
                                <w:rFonts w:ascii="Cambria Math" w:hAnsi="Cambria Math" w:cs="Times New Roman"/>
                                <w:lang w:val="en-US"/>
                              </w:rPr>
                              <m:t>it</m:t>
                            </m:r>
                          </m:sub>
                        </m:sSub>
                        <m:r>
                          <w:rPr>
                            <w:rFonts w:ascii="Cambria Math" w:hAnsi="Cambria Math" w:cs="Times New Roman"/>
                            <w:lang w:val="en-US"/>
                          </w:rPr>
                          <m:t>⋅</m:t>
                        </m:r>
                        <m:sSub>
                          <m:sSubPr>
                            <m:ctrlPr>
                              <w:rPr>
                                <w:rFonts w:ascii="Cambria Math" w:hAnsi="Cambria Math" w:cs="Times New Roman"/>
                                <w:i/>
                                <w:lang w:val="en-US"/>
                              </w:rPr>
                            </m:ctrlPr>
                          </m:sSubPr>
                          <m:e>
                            <m:r>
                              <w:rPr>
                                <w:rFonts w:ascii="Cambria Math" w:hAnsi="Cambria Math" w:cs="Times New Roman"/>
                                <w:lang w:val="en-US"/>
                              </w:rPr>
                              <m:t>q</m:t>
                            </m:r>
                          </m:e>
                          <m:sub>
                            <m:r>
                              <w:rPr>
                                <w:rFonts w:ascii="Cambria Math" w:hAnsi="Cambria Math" w:cs="Times New Roman"/>
                                <w:lang w:val="en-US"/>
                              </w:rPr>
                              <m:t>it</m:t>
                            </m:r>
                          </m:sub>
                        </m:sSub>
                      </m:num>
                      <m:den>
                        <m:nary>
                          <m:naryPr>
                            <m:chr m:val="∑"/>
                            <m:supHide m:val="1"/>
                            <m:ctrlPr>
                              <w:rPr>
                                <w:rFonts w:ascii="Cambria Math" w:hAnsi="Cambria Math" w:cs="Times New Roman"/>
                                <w:i/>
                                <w:lang w:val="en-US"/>
                              </w:rPr>
                            </m:ctrlPr>
                          </m:naryPr>
                          <m:sub>
                            <m:r>
                              <w:rPr>
                                <w:rFonts w:ascii="Cambria Math" w:hAnsi="Cambria Math" w:cs="Times New Roman"/>
                                <w:lang w:val="en-US"/>
                              </w:rPr>
                              <m:t>i</m:t>
                            </m:r>
                          </m:sub>
                          <m:sup/>
                          <m:e>
                            <m:sSub>
                              <m:sSubPr>
                                <m:ctrlPr>
                                  <w:rPr>
                                    <w:rFonts w:ascii="Cambria Math" w:hAnsi="Cambria Math" w:cs="Times New Roman"/>
                                    <w:i/>
                                    <w:lang w:val="en-US"/>
                                  </w:rPr>
                                </m:ctrlPr>
                              </m:sSubPr>
                              <m:e>
                                <m:r>
                                  <w:rPr>
                                    <w:rFonts w:ascii="Cambria Math" w:hAnsi="Cambria Math" w:cs="Times New Roman"/>
                                    <w:lang w:val="en-US"/>
                                  </w:rPr>
                                  <m:t>p</m:t>
                                </m:r>
                              </m:e>
                              <m:sub>
                                <m:r>
                                  <w:rPr>
                                    <w:rFonts w:ascii="Cambria Math" w:hAnsi="Cambria Math" w:cs="Times New Roman"/>
                                    <w:lang w:val="en-US"/>
                                  </w:rPr>
                                  <m:t>it</m:t>
                                </m:r>
                              </m:sub>
                            </m:sSub>
                            <m:r>
                              <w:rPr>
                                <w:rFonts w:ascii="Cambria Math" w:hAnsi="Cambria Math" w:cs="Times New Roman"/>
                                <w:lang w:val="en-US"/>
                              </w:rPr>
                              <m:t>⋅</m:t>
                            </m:r>
                            <m:sSub>
                              <m:sSubPr>
                                <m:ctrlPr>
                                  <w:rPr>
                                    <w:rFonts w:ascii="Cambria Math" w:hAnsi="Cambria Math" w:cs="Times New Roman"/>
                                    <w:i/>
                                    <w:lang w:val="en-US"/>
                                  </w:rPr>
                                </m:ctrlPr>
                              </m:sSubPr>
                              <m:e>
                                <m:r>
                                  <w:rPr>
                                    <w:rFonts w:ascii="Cambria Math" w:hAnsi="Cambria Math" w:cs="Times New Roman"/>
                                    <w:lang w:val="en-US"/>
                                  </w:rPr>
                                  <m:t>q</m:t>
                                </m:r>
                              </m:e>
                              <m:sub>
                                <m:r>
                                  <w:rPr>
                                    <w:rFonts w:ascii="Cambria Math" w:hAnsi="Cambria Math" w:cs="Times New Roman"/>
                                    <w:lang w:val="en-US"/>
                                  </w:rPr>
                                  <m:t>it</m:t>
                                </m:r>
                              </m:sub>
                            </m:sSub>
                          </m:e>
                        </m:nary>
                      </m:den>
                    </m:f>
                    <m:r>
                      <w:rPr>
                        <w:rFonts w:ascii="Cambria Math" w:hAnsi="Cambria Math" w:cs="Times New Roman"/>
                        <w:lang w:val="en-US"/>
                      </w:rPr>
                      <m:t>/T</m:t>
                    </m:r>
                  </m:e>
                </m:nary>
              </m:oMath>
            </m:oMathPara>
          </w:p>
        </w:tc>
        <w:tc>
          <w:tcPr>
            <w:tcW w:w="710" w:type="dxa"/>
            <w:vAlign w:val="center"/>
          </w:tcPr>
          <w:p w:rsidR="00594998" w:rsidRPr="00F63CF0" w:rsidRDefault="001E61FC" w:rsidP="00A612C2">
            <w:pPr>
              <w:spacing w:line="360" w:lineRule="auto"/>
              <w:jc w:val="both"/>
              <w:rPr>
                <w:rFonts w:ascii="Times New Roman" w:hAnsi="Times New Roman" w:cs="Times New Roman"/>
                <w:lang w:val="en-US"/>
              </w:rPr>
            </w:pPr>
            <w:r w:rsidRPr="00F63CF0">
              <w:rPr>
                <w:rFonts w:ascii="Times New Roman" w:hAnsi="Times New Roman" w:cs="Times New Roman"/>
                <w:lang w:val="en-US"/>
              </w:rPr>
              <w:t>(4</w:t>
            </w:r>
            <w:r w:rsidR="00594998" w:rsidRPr="00F63CF0">
              <w:rPr>
                <w:rFonts w:ascii="Times New Roman" w:hAnsi="Times New Roman" w:cs="Times New Roman"/>
                <w:lang w:val="en-US"/>
              </w:rPr>
              <w:t>)</w:t>
            </w:r>
          </w:p>
        </w:tc>
      </w:tr>
    </w:tbl>
    <w:p w:rsidR="001E61FC" w:rsidRPr="00F63CF0" w:rsidRDefault="001E61FC" w:rsidP="00A612C2">
      <w:pPr>
        <w:spacing w:line="360" w:lineRule="auto"/>
        <w:jc w:val="both"/>
        <w:rPr>
          <w:rFonts w:ascii="Times New Roman" w:hAnsi="Times New Roman" w:cs="Times New Roman"/>
          <w:lang w:val="en-US"/>
        </w:rPr>
      </w:pPr>
    </w:p>
    <w:p w:rsidR="0056562B" w:rsidRPr="00F63CF0" w:rsidRDefault="00F63CF0" w:rsidP="00A612C2">
      <w:pPr>
        <w:spacing w:line="360" w:lineRule="auto"/>
        <w:jc w:val="both"/>
        <w:rPr>
          <w:rFonts w:ascii="Times New Roman" w:hAnsi="Times New Roman" w:cs="Times New Roman"/>
          <w:i/>
          <w:lang w:val="en-US"/>
        </w:rPr>
      </w:pPr>
      <w:r w:rsidRPr="00F63CF0">
        <w:rPr>
          <w:rFonts w:ascii="Times New Roman" w:hAnsi="Times New Roman" w:cs="Times New Roman"/>
          <w:i/>
          <w:lang w:val="en-US"/>
        </w:rPr>
        <w:t>Chaining</w:t>
      </w:r>
    </w:p>
    <w:p w:rsidR="00F63CF0" w:rsidRPr="00F63CF0" w:rsidRDefault="00F63CF0" w:rsidP="00A612C2">
      <w:pPr>
        <w:spacing w:line="360" w:lineRule="auto"/>
        <w:jc w:val="both"/>
        <w:rPr>
          <w:rFonts w:ascii="Times New Roman" w:hAnsi="Times New Roman" w:cs="Times New Roman"/>
          <w:lang w:val="en-US"/>
        </w:rPr>
      </w:pPr>
      <w:r w:rsidRPr="00F63CF0">
        <w:rPr>
          <w:rFonts w:ascii="Times New Roman" w:hAnsi="Times New Roman" w:cs="Times New Roman"/>
          <w:lang w:val="en-US"/>
        </w:rPr>
        <w:t>Modern index-number literature emphasizes that weights need to be updated at regular intervals to reflect changing expenditure patterns and incorporate new products in the weighting baskets (</w:t>
      </w:r>
      <w:bookmarkStart w:id="0" w:name="_Hlk496531550"/>
      <w:proofErr w:type="spellStart"/>
      <w:r w:rsidRPr="00F63CF0">
        <w:rPr>
          <w:rFonts w:ascii="Times New Roman" w:hAnsi="Times New Roman" w:cs="Times New Roman"/>
          <w:lang w:val="en-US"/>
        </w:rPr>
        <w:t>Diewert</w:t>
      </w:r>
      <w:proofErr w:type="spellEnd"/>
      <w:r w:rsidRPr="00F63CF0">
        <w:rPr>
          <w:rFonts w:ascii="Times New Roman" w:hAnsi="Times New Roman" w:cs="Times New Roman"/>
          <w:lang w:val="en-US"/>
        </w:rPr>
        <w:t xml:space="preserve"> 2014</w:t>
      </w:r>
      <w:bookmarkEnd w:id="0"/>
      <w:r w:rsidRPr="00F63CF0">
        <w:rPr>
          <w:rFonts w:ascii="Times New Roman" w:hAnsi="Times New Roman" w:cs="Times New Roman"/>
          <w:lang w:val="en-US"/>
        </w:rPr>
        <w:t>). Setting fixed, time-invariant weights will introduce a sizable bias at any given point in time. Commonly, long indices are constructed using a procedure called chaining, where aggregate price indices are calculated for shorter, partly overlapping sub-periods which are subsequently joined together by rescaling them to make the values equal in the overlapping years</w:t>
      </w:r>
    </w:p>
    <w:p w:rsidR="00F63CF0" w:rsidRPr="00F63CF0" w:rsidRDefault="00F63CF0" w:rsidP="00A612C2">
      <w:pPr>
        <w:spacing w:line="360" w:lineRule="auto"/>
        <w:ind w:firstLine="720"/>
        <w:jc w:val="both"/>
        <w:rPr>
          <w:rFonts w:ascii="Times New Roman" w:hAnsi="Times New Roman" w:cs="Times New Roman"/>
          <w:lang w:val="en-US"/>
        </w:rPr>
      </w:pPr>
      <w:r w:rsidRPr="00F63CF0">
        <w:rPr>
          <w:rFonts w:ascii="Times New Roman" w:hAnsi="Times New Roman" w:cs="Times New Roman"/>
          <w:lang w:val="en-US"/>
        </w:rPr>
        <w:t xml:space="preserve">However, if there are considerable fluctuations in the prices and quantities in the intervening periods, chaining may both increase the index number spread and even distort the measure of the overall change between the first and last periods. A solution is to reduce the frequency of chaining and thus lengthen the sub-periods. This can smooth out temporary shocks to prices or quantities and compensate for measurement error in the weights. These issues are particularly relevant for our NBTT series which spans a long time-period, sees the introduction of various new export and import commodities, exhibits a fair amount of volatility in both the prices and quantities for those commodities, and inevitably suffers from some measurement error. We adopt a chaining procedure, setting the chain length at twenty years, and averaging the weights over each sub-period; see equation (5). </w:t>
      </w:r>
    </w:p>
    <w:p w:rsidR="00F63CF0" w:rsidRPr="00F63CF0" w:rsidRDefault="00F63CF0" w:rsidP="00A612C2">
      <w:pPr>
        <w:spacing w:line="360" w:lineRule="auto"/>
        <w:jc w:val="both"/>
        <w:rPr>
          <w:rFonts w:ascii="Times New Roman" w:hAnsi="Times New Roman" w:cs="Times New Roma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710"/>
      </w:tblGrid>
      <w:tr w:rsidR="00F63CF0" w:rsidRPr="00F63CF0" w:rsidTr="00B44CB7">
        <w:tc>
          <w:tcPr>
            <w:tcW w:w="8640" w:type="dxa"/>
          </w:tcPr>
          <w:p w:rsidR="00F63CF0" w:rsidRPr="00F63CF0" w:rsidRDefault="00DE1A1B" w:rsidP="00A612C2">
            <w:pPr>
              <w:spacing w:line="360" w:lineRule="auto"/>
              <w:jc w:val="both"/>
              <w:rPr>
                <w:rFonts w:ascii="Times New Roman" w:hAnsi="Times New Roman" w:cs="Times New Roman"/>
                <w:i/>
                <w:sz w:val="20"/>
              </w:rPr>
            </w:pPr>
            <m:oMathPara>
              <m:oMath>
                <m:sSup>
                  <m:sSupPr>
                    <m:ctrlPr>
                      <w:rPr>
                        <w:rFonts w:ascii="Cambria Math" w:hAnsi="Cambria Math" w:cs="Times New Roman"/>
                        <w:i/>
                        <w:sz w:val="20"/>
                      </w:rPr>
                    </m:ctrlPr>
                  </m:sSupPr>
                  <m:e>
                    <m:r>
                      <w:rPr>
                        <w:rFonts w:ascii="Cambria Math" w:hAnsi="Cambria Math" w:cs="Times New Roman"/>
                        <w:sz w:val="20"/>
                      </w:rPr>
                      <m:t>P</m:t>
                    </m:r>
                  </m:e>
                  <m:sup>
                    <m:r>
                      <w:rPr>
                        <w:rFonts w:ascii="Cambria Math" w:hAnsi="Cambria Math" w:cs="Times New Roman"/>
                        <w:sz w:val="20"/>
                      </w:rPr>
                      <m:t>c</m:t>
                    </m:r>
                  </m:sup>
                </m:sSup>
                <m:r>
                  <w:rPr>
                    <w:rFonts w:ascii="Cambria Math" w:hAnsi="Cambria Math" w:cs="Times New Roman"/>
                    <w:sz w:val="20"/>
                  </w:rPr>
                  <m:t>=</m:t>
                </m:r>
                <m:d>
                  <m:dPr>
                    <m:ctrlPr>
                      <w:rPr>
                        <w:rFonts w:ascii="Cambria Math" w:hAnsi="Cambria Math" w:cs="Times New Roman"/>
                        <w:i/>
                        <w:sz w:val="20"/>
                      </w:rPr>
                    </m:ctrlPr>
                  </m:dPr>
                  <m:e>
                    <m:nary>
                      <m:naryPr>
                        <m:chr m:val="∑"/>
                        <m:supHide m:val="1"/>
                        <m:ctrlPr>
                          <w:rPr>
                            <w:rFonts w:ascii="Cambria Math" w:hAnsi="Cambria Math" w:cs="Times New Roman"/>
                            <w:i/>
                            <w:sz w:val="20"/>
                          </w:rPr>
                        </m:ctrlPr>
                      </m:naryPr>
                      <m:sub>
                        <m:r>
                          <w:rPr>
                            <w:rFonts w:ascii="Cambria Math" w:hAnsi="Cambria Math" w:cs="Times New Roman"/>
                            <w:sz w:val="20"/>
                          </w:rPr>
                          <m:t>i</m:t>
                        </m:r>
                      </m:sub>
                      <m:sup/>
                      <m:e>
                        <m:f>
                          <m:fPr>
                            <m:ctrlPr>
                              <w:rPr>
                                <w:rFonts w:ascii="Cambria Math" w:hAnsi="Cambria Math" w:cs="Times New Roman"/>
                                <w:i/>
                                <w:sz w:val="20"/>
                              </w:rPr>
                            </m:ctrlPr>
                          </m:fPr>
                          <m:num>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i20</m:t>
                                </m:r>
                              </m:sub>
                            </m:sSub>
                          </m:num>
                          <m:den>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i0</m:t>
                                </m:r>
                              </m:sub>
                            </m:sSub>
                          </m:den>
                        </m:f>
                      </m:e>
                    </m:nary>
                    <m:sSub>
                      <m:sSubPr>
                        <m:ctrlPr>
                          <w:rPr>
                            <w:rFonts w:ascii="Cambria Math" w:hAnsi="Cambria Math" w:cs="Times New Roman"/>
                            <w:i/>
                            <w:sz w:val="20"/>
                          </w:rPr>
                        </m:ctrlPr>
                      </m:sSubPr>
                      <m:e>
                        <m:acc>
                          <m:accPr>
                            <m:chr m:val="̅"/>
                            <m:ctrlPr>
                              <w:rPr>
                                <w:rFonts w:ascii="Cambria Math" w:hAnsi="Cambria Math" w:cs="Times New Roman"/>
                                <w:i/>
                                <w:sz w:val="20"/>
                              </w:rPr>
                            </m:ctrlPr>
                          </m:accPr>
                          <m:e>
                            <m:r>
                              <w:rPr>
                                <w:rFonts w:ascii="Cambria Math" w:hAnsi="Cambria Math" w:cs="Times New Roman"/>
                                <w:sz w:val="20"/>
                              </w:rPr>
                              <m:t>s</m:t>
                            </m:r>
                          </m:e>
                        </m:acc>
                      </m:e>
                      <m:sub>
                        <m:r>
                          <w:rPr>
                            <w:rFonts w:ascii="Cambria Math" w:hAnsi="Cambria Math" w:cs="Times New Roman"/>
                            <w:sz w:val="20"/>
                          </w:rPr>
                          <m:t>iτ</m:t>
                        </m:r>
                      </m:sub>
                    </m:sSub>
                  </m:e>
                </m:d>
                <m:d>
                  <m:dPr>
                    <m:ctrlPr>
                      <w:rPr>
                        <w:rFonts w:ascii="Cambria Math" w:hAnsi="Cambria Math" w:cs="Times New Roman"/>
                        <w:i/>
                        <w:sz w:val="20"/>
                      </w:rPr>
                    </m:ctrlPr>
                  </m:dPr>
                  <m:e>
                    <m:nary>
                      <m:naryPr>
                        <m:chr m:val="∑"/>
                        <m:supHide m:val="1"/>
                        <m:ctrlPr>
                          <w:rPr>
                            <w:rFonts w:ascii="Cambria Math" w:hAnsi="Cambria Math" w:cs="Times New Roman"/>
                            <w:i/>
                            <w:sz w:val="20"/>
                          </w:rPr>
                        </m:ctrlPr>
                      </m:naryPr>
                      <m:sub>
                        <m:r>
                          <w:rPr>
                            <w:rFonts w:ascii="Cambria Math" w:hAnsi="Cambria Math" w:cs="Times New Roman"/>
                            <w:sz w:val="20"/>
                          </w:rPr>
                          <m:t>i</m:t>
                        </m:r>
                      </m:sub>
                      <m:sup/>
                      <m:e>
                        <m:f>
                          <m:fPr>
                            <m:ctrlPr>
                              <w:rPr>
                                <w:rFonts w:ascii="Cambria Math" w:hAnsi="Cambria Math" w:cs="Times New Roman"/>
                                <w:i/>
                                <w:sz w:val="20"/>
                              </w:rPr>
                            </m:ctrlPr>
                          </m:fPr>
                          <m:num>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i40</m:t>
                                </m:r>
                              </m:sub>
                            </m:sSub>
                          </m:num>
                          <m:den>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i20</m:t>
                                </m:r>
                              </m:sub>
                            </m:sSub>
                          </m:den>
                        </m:f>
                      </m:e>
                    </m:nary>
                    <m:sSub>
                      <m:sSubPr>
                        <m:ctrlPr>
                          <w:rPr>
                            <w:rFonts w:ascii="Cambria Math" w:hAnsi="Cambria Math" w:cs="Times New Roman"/>
                            <w:i/>
                            <w:sz w:val="20"/>
                          </w:rPr>
                        </m:ctrlPr>
                      </m:sSubPr>
                      <m:e>
                        <m:acc>
                          <m:accPr>
                            <m:chr m:val="̅"/>
                            <m:ctrlPr>
                              <w:rPr>
                                <w:rFonts w:ascii="Cambria Math" w:hAnsi="Cambria Math" w:cs="Times New Roman"/>
                                <w:i/>
                                <w:sz w:val="20"/>
                              </w:rPr>
                            </m:ctrlPr>
                          </m:accPr>
                          <m:e>
                            <m:r>
                              <w:rPr>
                                <w:rFonts w:ascii="Cambria Math" w:hAnsi="Cambria Math" w:cs="Times New Roman"/>
                                <w:sz w:val="20"/>
                              </w:rPr>
                              <m:t>s</m:t>
                            </m:r>
                          </m:e>
                        </m:acc>
                      </m:e>
                      <m:sub>
                        <m:r>
                          <w:rPr>
                            <w:rFonts w:ascii="Cambria Math" w:hAnsi="Cambria Math" w:cs="Times New Roman"/>
                            <w:sz w:val="20"/>
                          </w:rPr>
                          <m:t>iτ+1</m:t>
                        </m:r>
                      </m:sub>
                    </m:sSub>
                  </m:e>
                </m:d>
                <m:d>
                  <m:dPr>
                    <m:ctrlPr>
                      <w:rPr>
                        <w:rFonts w:ascii="Cambria Math" w:hAnsi="Cambria Math" w:cs="Times New Roman"/>
                        <w:i/>
                        <w:sz w:val="20"/>
                      </w:rPr>
                    </m:ctrlPr>
                  </m:dPr>
                  <m:e>
                    <m:nary>
                      <m:naryPr>
                        <m:chr m:val="∑"/>
                        <m:supHide m:val="1"/>
                        <m:ctrlPr>
                          <w:rPr>
                            <w:rFonts w:ascii="Cambria Math" w:hAnsi="Cambria Math" w:cs="Times New Roman"/>
                            <w:i/>
                            <w:sz w:val="20"/>
                          </w:rPr>
                        </m:ctrlPr>
                      </m:naryPr>
                      <m:sub>
                        <m:r>
                          <w:rPr>
                            <w:rFonts w:ascii="Cambria Math" w:hAnsi="Cambria Math" w:cs="Times New Roman"/>
                            <w:sz w:val="20"/>
                          </w:rPr>
                          <m:t>i</m:t>
                        </m:r>
                      </m:sub>
                      <m:sup/>
                      <m:e>
                        <m:f>
                          <m:fPr>
                            <m:ctrlPr>
                              <w:rPr>
                                <w:rFonts w:ascii="Cambria Math" w:hAnsi="Cambria Math" w:cs="Times New Roman"/>
                                <w:i/>
                                <w:sz w:val="20"/>
                              </w:rPr>
                            </m:ctrlPr>
                          </m:fPr>
                          <m:num>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i60</m:t>
                                </m:r>
                              </m:sub>
                            </m:sSub>
                          </m:num>
                          <m:den>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i40</m:t>
                                </m:r>
                              </m:sub>
                            </m:sSub>
                          </m:den>
                        </m:f>
                      </m:e>
                    </m:nary>
                    <m:sSub>
                      <m:sSubPr>
                        <m:ctrlPr>
                          <w:rPr>
                            <w:rFonts w:ascii="Cambria Math" w:hAnsi="Cambria Math" w:cs="Times New Roman"/>
                            <w:i/>
                            <w:sz w:val="20"/>
                          </w:rPr>
                        </m:ctrlPr>
                      </m:sSubPr>
                      <m:e>
                        <m:acc>
                          <m:accPr>
                            <m:chr m:val="̅"/>
                            <m:ctrlPr>
                              <w:rPr>
                                <w:rFonts w:ascii="Cambria Math" w:hAnsi="Cambria Math" w:cs="Times New Roman"/>
                                <w:i/>
                                <w:sz w:val="20"/>
                              </w:rPr>
                            </m:ctrlPr>
                          </m:accPr>
                          <m:e>
                            <m:r>
                              <w:rPr>
                                <w:rFonts w:ascii="Cambria Math" w:hAnsi="Cambria Math" w:cs="Times New Roman"/>
                                <w:sz w:val="20"/>
                              </w:rPr>
                              <m:t>s</m:t>
                            </m:r>
                          </m:e>
                        </m:acc>
                      </m:e>
                      <m:sub>
                        <m:r>
                          <w:rPr>
                            <w:rFonts w:ascii="Cambria Math" w:hAnsi="Cambria Math" w:cs="Times New Roman"/>
                            <w:sz w:val="20"/>
                          </w:rPr>
                          <m:t>iτ+2</m:t>
                        </m:r>
                      </m:sub>
                    </m:sSub>
                  </m:e>
                </m:d>
                <m:r>
                  <w:rPr>
                    <w:rFonts w:ascii="Cambria Math" w:hAnsi="Cambria Math" w:cs="Times New Roman"/>
                    <w:sz w:val="20"/>
                  </w:rPr>
                  <m:t>=</m:t>
                </m:r>
                <m:nary>
                  <m:naryPr>
                    <m:chr m:val="∏"/>
                    <m:limLoc m:val="undOvr"/>
                    <m:supHide m:val="1"/>
                    <m:ctrlPr>
                      <w:rPr>
                        <w:rFonts w:ascii="Cambria Math" w:hAnsi="Cambria Math" w:cs="Times New Roman"/>
                        <w:i/>
                        <w:sz w:val="20"/>
                      </w:rPr>
                    </m:ctrlPr>
                  </m:naryPr>
                  <m:sub>
                    <m:r>
                      <w:rPr>
                        <w:rFonts w:ascii="Cambria Math" w:hAnsi="Cambria Math" w:cs="Times New Roman"/>
                        <w:sz w:val="20"/>
                      </w:rPr>
                      <m:t>τ</m:t>
                    </m:r>
                  </m:sub>
                  <m:sup/>
                  <m:e>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τ</m:t>
                        </m:r>
                      </m:sub>
                    </m:sSub>
                  </m:e>
                </m:nary>
              </m:oMath>
            </m:oMathPara>
          </w:p>
        </w:tc>
        <w:tc>
          <w:tcPr>
            <w:tcW w:w="710" w:type="dxa"/>
            <w:vAlign w:val="center"/>
          </w:tcPr>
          <w:p w:rsidR="00F63CF0" w:rsidRPr="00F63CF0" w:rsidRDefault="00F63CF0" w:rsidP="00A612C2">
            <w:pPr>
              <w:spacing w:line="360" w:lineRule="auto"/>
              <w:jc w:val="both"/>
              <w:rPr>
                <w:rFonts w:ascii="Times New Roman" w:hAnsi="Times New Roman" w:cs="Times New Roman"/>
                <w:lang w:val="en-US"/>
              </w:rPr>
            </w:pPr>
            <w:r w:rsidRPr="00F63CF0">
              <w:rPr>
                <w:rFonts w:ascii="Times New Roman" w:hAnsi="Times New Roman" w:cs="Times New Roman"/>
                <w:lang w:val="en-US"/>
              </w:rPr>
              <w:t>(5)</w:t>
            </w:r>
          </w:p>
        </w:tc>
      </w:tr>
    </w:tbl>
    <w:p w:rsidR="00F63CF0" w:rsidRPr="00F63CF0" w:rsidRDefault="00F63CF0" w:rsidP="00A612C2">
      <w:pPr>
        <w:spacing w:line="360" w:lineRule="auto"/>
        <w:jc w:val="both"/>
        <w:rPr>
          <w:rFonts w:ascii="Times New Roman" w:hAnsi="Times New Roman" w:cs="Times New Roman"/>
          <w:lang w:val="en-US"/>
        </w:rPr>
      </w:pPr>
    </w:p>
    <w:p w:rsidR="00F63CF0" w:rsidRPr="00F63CF0" w:rsidRDefault="00F63CF0" w:rsidP="00A612C2">
      <w:pPr>
        <w:spacing w:line="360" w:lineRule="auto"/>
        <w:ind w:firstLine="720"/>
        <w:jc w:val="both"/>
        <w:rPr>
          <w:rFonts w:ascii="Times New Roman" w:hAnsi="Times New Roman" w:cs="Times New Roman"/>
          <w:lang w:val="en-US"/>
        </w:rPr>
      </w:pPr>
      <w:r w:rsidRPr="00F63CF0">
        <w:rPr>
          <w:rFonts w:ascii="Times New Roman" w:hAnsi="Times New Roman" w:cs="Times New Roman"/>
          <w:lang w:val="en-US"/>
        </w:rPr>
        <w:t>Our methodology not only matches the standard practice in the historical trade literature (</w:t>
      </w:r>
      <w:bookmarkStart w:id="1" w:name="_Hlk496531560"/>
      <w:proofErr w:type="spellStart"/>
      <w:r w:rsidRPr="00F63CF0">
        <w:rPr>
          <w:rFonts w:ascii="Times New Roman" w:hAnsi="Times New Roman" w:cs="Times New Roman"/>
          <w:lang w:val="en-US"/>
        </w:rPr>
        <w:t>Blattman</w:t>
      </w:r>
      <w:proofErr w:type="spellEnd"/>
      <w:r w:rsidRPr="00F63CF0">
        <w:rPr>
          <w:rFonts w:ascii="Times New Roman" w:hAnsi="Times New Roman" w:cs="Times New Roman"/>
          <w:lang w:val="en-US"/>
        </w:rPr>
        <w:t xml:space="preserve"> et al. 2007; Williamson 2011</w:t>
      </w:r>
      <w:bookmarkEnd w:id="1"/>
      <w:r w:rsidRPr="00F63CF0">
        <w:rPr>
          <w:rFonts w:ascii="Times New Roman" w:hAnsi="Times New Roman" w:cs="Times New Roman"/>
          <w:lang w:val="en-US"/>
        </w:rPr>
        <w:t xml:space="preserve">), it also closely mirrors the methodology currently applied by the World Bank and the </w:t>
      </w:r>
      <w:bookmarkStart w:id="2" w:name="_Hlk496531575"/>
      <w:r w:rsidRPr="00F63CF0">
        <w:rPr>
          <w:rFonts w:ascii="Times New Roman" w:hAnsi="Times New Roman" w:cs="Times New Roman"/>
          <w:lang w:val="en-US"/>
        </w:rPr>
        <w:t xml:space="preserve">IMF (2009). </w:t>
      </w:r>
      <w:bookmarkEnd w:id="2"/>
      <w:r w:rsidRPr="00F63CF0">
        <w:rPr>
          <w:rFonts w:ascii="Times New Roman" w:hAnsi="Times New Roman" w:cs="Times New Roman"/>
          <w:lang w:val="en-US"/>
        </w:rPr>
        <w:t xml:space="preserve">A robustness check of our NBTT index for West Africa (WA) between 1808 and 1884 reveals that alternative choices of chain lengths do not fundamentally alter our findings. Setting the chain length as high as fifty years or as low as two years yields estimates of average annual NBTT growth ranging from 1.51 to 1.87 percent. Our preferred estimate of 1.65, based on twenty-year intervals, sits comfortable </w:t>
      </w:r>
      <w:r w:rsidRPr="00F63CF0">
        <w:rPr>
          <w:rFonts w:ascii="Times New Roman" w:hAnsi="Times New Roman" w:cs="Times New Roman"/>
          <w:lang w:val="en-US"/>
        </w:rPr>
        <w:lastRenderedPageBreak/>
        <w:t>in the middle of this range. Setting the chain length to one, thus updating weights every year, results in an average annual growth rate of NBTT for WA between 1808 and 1884 of 2.38 percent. This substantially higher growth rate is likely the result of chain drift.</w:t>
      </w:r>
    </w:p>
    <w:p w:rsidR="00A53610" w:rsidRPr="00F63CF0" w:rsidRDefault="00A53610" w:rsidP="00A612C2">
      <w:pPr>
        <w:spacing w:line="360" w:lineRule="auto"/>
        <w:jc w:val="both"/>
        <w:rPr>
          <w:rFonts w:ascii="Times New Roman" w:hAnsi="Times New Roman" w:cs="Times New Roman"/>
          <w:lang w:val="en-US"/>
        </w:rPr>
      </w:pPr>
    </w:p>
    <w:p w:rsidR="00F63CF0" w:rsidRPr="00F63CF0" w:rsidRDefault="00F63CF0" w:rsidP="00A612C2">
      <w:pPr>
        <w:spacing w:line="360" w:lineRule="auto"/>
        <w:jc w:val="both"/>
        <w:rPr>
          <w:rFonts w:ascii="Times New Roman" w:hAnsi="Times New Roman" w:cs="Times New Roman"/>
          <w:i/>
          <w:lang w:val="en-US"/>
        </w:rPr>
      </w:pPr>
      <w:r w:rsidRPr="00F63CF0">
        <w:rPr>
          <w:rFonts w:ascii="Times New Roman" w:hAnsi="Times New Roman" w:cs="Times New Roman"/>
          <w:i/>
          <w:lang w:val="en-US"/>
        </w:rPr>
        <w:t>African versus London prices</w:t>
      </w:r>
    </w:p>
    <w:p w:rsid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 xml:space="preserve">Comparison of prices between Africa and London is not straightforward. Not all the key African export commodities are listed in the British wholesale price index series (e.g. </w:t>
      </w:r>
      <w:bookmarkStart w:id="3" w:name="_Hlk496531584"/>
      <w:proofErr w:type="spellStart"/>
      <w:r w:rsidRPr="00F63CF0">
        <w:rPr>
          <w:rFonts w:ascii="Times New Roman" w:hAnsi="Times New Roman" w:cs="Times New Roman"/>
        </w:rPr>
        <w:t>Sauerbeck</w:t>
      </w:r>
      <w:bookmarkEnd w:id="3"/>
      <w:proofErr w:type="spellEnd"/>
      <w:r w:rsidRPr="00F63CF0">
        <w:rPr>
          <w:rFonts w:ascii="Times New Roman" w:hAnsi="Times New Roman" w:cs="Times New Roman"/>
        </w:rPr>
        <w:t xml:space="preserve">), particularly for the nineteenth century. In addition, some of the products that are listed may be of a different quality or have certain characteristics that distinguish them from the commodities listed in the London price series, e.g. wood. Table 1 below lists comparative statistics for 4 key West African products for which prices are available in </w:t>
      </w:r>
      <w:proofErr w:type="spellStart"/>
      <w:r w:rsidRPr="00F63CF0">
        <w:rPr>
          <w:rFonts w:ascii="Times New Roman" w:hAnsi="Times New Roman" w:cs="Times New Roman"/>
        </w:rPr>
        <w:t>Sauerbeck</w:t>
      </w:r>
      <w:proofErr w:type="spellEnd"/>
      <w:r w:rsidRPr="00F63CF0">
        <w:rPr>
          <w:rFonts w:ascii="Times New Roman" w:hAnsi="Times New Roman" w:cs="Times New Roman"/>
        </w:rPr>
        <w:t xml:space="preserve"> or the </w:t>
      </w:r>
      <w:bookmarkStart w:id="4" w:name="_Hlk496531594"/>
      <w:r w:rsidRPr="00F63CF0">
        <w:rPr>
          <w:rFonts w:ascii="Times New Roman" w:hAnsi="Times New Roman" w:cs="Times New Roman"/>
        </w:rPr>
        <w:t xml:space="preserve">Historical Statistics of the United States </w:t>
      </w:r>
      <w:bookmarkEnd w:id="4"/>
      <w:r w:rsidRPr="00F63CF0">
        <w:rPr>
          <w:rFonts w:ascii="Times New Roman" w:hAnsi="Times New Roman" w:cs="Times New Roman"/>
        </w:rPr>
        <w:t xml:space="preserve">(HSUS). Simple correlations of the levels (where the base years are set to 1900=100) reveal a strong, but not absolute correlation for most time-series. Level correlations for palm oil are quite weak, however, the series diverge particularly during WW1 and the 1920s. Comparing annual growth rates reveals a strong correlation for hides and cotton, but not for rubber and palm oil. A cointegration test finds that the London and African time series for palm oil are cointegrated, as is the case for hides and cotton. The null hypothesis of no cointegration for rubber, however, cannot be rejected at the standard 5 percent significance level. </w:t>
      </w:r>
    </w:p>
    <w:p w:rsidR="00F63CF0" w:rsidRPr="00F63CF0" w:rsidRDefault="00F63CF0" w:rsidP="00A612C2">
      <w:pPr>
        <w:spacing w:line="360" w:lineRule="auto"/>
        <w:jc w:val="both"/>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5"/>
        <w:gridCol w:w="1335"/>
        <w:gridCol w:w="1336"/>
        <w:gridCol w:w="1336"/>
        <w:gridCol w:w="1408"/>
        <w:gridCol w:w="1264"/>
        <w:gridCol w:w="1336"/>
      </w:tblGrid>
      <w:tr w:rsidR="00F63CF0" w:rsidRPr="00F63CF0" w:rsidTr="00B44CB7">
        <w:tc>
          <w:tcPr>
            <w:tcW w:w="9350" w:type="dxa"/>
            <w:gridSpan w:val="7"/>
            <w:tcBorders>
              <w:bottom w:val="single" w:sz="4" w:space="0" w:color="auto"/>
            </w:tcBorders>
          </w:tcPr>
          <w:p w:rsidR="00F63CF0" w:rsidRPr="00F63CF0" w:rsidRDefault="00F63CF0" w:rsidP="00A612C2">
            <w:pPr>
              <w:spacing w:line="360" w:lineRule="auto"/>
              <w:jc w:val="both"/>
              <w:rPr>
                <w:rFonts w:ascii="Times New Roman" w:hAnsi="Times New Roman" w:cs="Times New Roman"/>
                <w:b/>
              </w:rPr>
            </w:pPr>
            <w:r w:rsidRPr="00F63CF0">
              <w:rPr>
                <w:rFonts w:ascii="Times New Roman" w:hAnsi="Times New Roman" w:cs="Times New Roman"/>
                <w:b/>
              </w:rPr>
              <w:t>Table 1. Correlations and cointegration test</w:t>
            </w:r>
          </w:p>
        </w:tc>
      </w:tr>
      <w:tr w:rsidR="00F63CF0" w:rsidRPr="00F63CF0" w:rsidTr="00B44CB7">
        <w:tc>
          <w:tcPr>
            <w:tcW w:w="1335" w:type="dxa"/>
            <w:tcBorders>
              <w:top w:val="single" w:sz="4" w:space="0" w:color="auto"/>
              <w:bottom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Commodity</w:t>
            </w:r>
          </w:p>
        </w:tc>
        <w:tc>
          <w:tcPr>
            <w:tcW w:w="1335" w:type="dxa"/>
            <w:tcBorders>
              <w:top w:val="single" w:sz="4" w:space="0" w:color="auto"/>
              <w:bottom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Source</w:t>
            </w:r>
          </w:p>
        </w:tc>
        <w:tc>
          <w:tcPr>
            <w:tcW w:w="1336" w:type="dxa"/>
            <w:tcBorders>
              <w:top w:val="single" w:sz="4" w:space="0" w:color="auto"/>
              <w:bottom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Years</w:t>
            </w:r>
          </w:p>
        </w:tc>
        <w:tc>
          <w:tcPr>
            <w:tcW w:w="1336" w:type="dxa"/>
            <w:tcBorders>
              <w:top w:val="single" w:sz="4" w:space="0" w:color="auto"/>
              <w:bottom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Corr. Levels</w:t>
            </w:r>
          </w:p>
        </w:tc>
        <w:tc>
          <w:tcPr>
            <w:tcW w:w="1408" w:type="dxa"/>
            <w:tcBorders>
              <w:top w:val="single" w:sz="4" w:space="0" w:color="auto"/>
              <w:bottom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Corr. 1</w:t>
            </w:r>
            <w:r w:rsidRPr="00F63CF0">
              <w:rPr>
                <w:rFonts w:ascii="Times New Roman" w:hAnsi="Times New Roman" w:cs="Times New Roman"/>
                <w:vertAlign w:val="superscript"/>
              </w:rPr>
              <w:t>st</w:t>
            </w:r>
            <w:r w:rsidRPr="00F63CF0">
              <w:rPr>
                <w:rFonts w:ascii="Times New Roman" w:hAnsi="Times New Roman" w:cs="Times New Roman"/>
              </w:rPr>
              <w:t xml:space="preserve"> Diff.</w:t>
            </w:r>
          </w:p>
        </w:tc>
        <w:tc>
          <w:tcPr>
            <w:tcW w:w="1264" w:type="dxa"/>
            <w:tcBorders>
              <w:top w:val="single" w:sz="4" w:space="0" w:color="auto"/>
              <w:bottom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 xml:space="preserve">H0: 0 </w:t>
            </w:r>
            <w:proofErr w:type="spellStart"/>
            <w:r w:rsidRPr="00F63CF0">
              <w:rPr>
                <w:rFonts w:ascii="Times New Roman" w:hAnsi="Times New Roman" w:cs="Times New Roman"/>
              </w:rPr>
              <w:t>coint</w:t>
            </w:r>
            <w:proofErr w:type="spellEnd"/>
            <w:r w:rsidRPr="00F63CF0">
              <w:rPr>
                <w:rFonts w:ascii="Times New Roman" w:hAnsi="Times New Roman" w:cs="Times New Roman"/>
              </w:rPr>
              <w:t>.</w:t>
            </w:r>
          </w:p>
        </w:tc>
        <w:tc>
          <w:tcPr>
            <w:tcW w:w="1336" w:type="dxa"/>
            <w:tcBorders>
              <w:top w:val="single" w:sz="4" w:space="0" w:color="auto"/>
              <w:bottom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 xml:space="preserve">H0: 1 </w:t>
            </w:r>
            <w:proofErr w:type="spellStart"/>
            <w:r w:rsidRPr="00F63CF0">
              <w:rPr>
                <w:rFonts w:ascii="Times New Roman" w:hAnsi="Times New Roman" w:cs="Times New Roman"/>
              </w:rPr>
              <w:t>coint</w:t>
            </w:r>
            <w:proofErr w:type="spellEnd"/>
            <w:r w:rsidRPr="00F63CF0">
              <w:rPr>
                <w:rFonts w:ascii="Times New Roman" w:hAnsi="Times New Roman" w:cs="Times New Roman"/>
              </w:rPr>
              <w:t>.</w:t>
            </w:r>
          </w:p>
        </w:tc>
      </w:tr>
      <w:tr w:rsidR="00F63CF0" w:rsidRPr="00F63CF0" w:rsidTr="00B44CB7">
        <w:tc>
          <w:tcPr>
            <w:tcW w:w="1335" w:type="dxa"/>
            <w:tcBorders>
              <w:top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Palm Oil</w:t>
            </w:r>
          </w:p>
        </w:tc>
        <w:tc>
          <w:tcPr>
            <w:tcW w:w="1335" w:type="dxa"/>
            <w:tcBorders>
              <w:top w:val="single" w:sz="4" w:space="0" w:color="auto"/>
            </w:tcBorders>
          </w:tcPr>
          <w:p w:rsidR="00F63CF0" w:rsidRPr="00F63CF0" w:rsidRDefault="00F63CF0" w:rsidP="00A612C2">
            <w:pPr>
              <w:spacing w:line="360" w:lineRule="auto"/>
              <w:jc w:val="both"/>
              <w:rPr>
                <w:rFonts w:ascii="Times New Roman" w:hAnsi="Times New Roman" w:cs="Times New Roman"/>
              </w:rPr>
            </w:pPr>
            <w:proofErr w:type="spellStart"/>
            <w:r w:rsidRPr="00F63CF0">
              <w:rPr>
                <w:rFonts w:ascii="Times New Roman" w:hAnsi="Times New Roman" w:cs="Times New Roman"/>
              </w:rPr>
              <w:t>Sauerbeck</w:t>
            </w:r>
            <w:proofErr w:type="spellEnd"/>
          </w:p>
        </w:tc>
        <w:tc>
          <w:tcPr>
            <w:tcW w:w="1336" w:type="dxa"/>
            <w:tcBorders>
              <w:top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1846-1939</w:t>
            </w:r>
          </w:p>
        </w:tc>
        <w:tc>
          <w:tcPr>
            <w:tcW w:w="1336" w:type="dxa"/>
            <w:tcBorders>
              <w:top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0.363</w:t>
            </w:r>
          </w:p>
        </w:tc>
        <w:tc>
          <w:tcPr>
            <w:tcW w:w="1408" w:type="dxa"/>
            <w:tcBorders>
              <w:top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0.388</w:t>
            </w:r>
          </w:p>
        </w:tc>
        <w:tc>
          <w:tcPr>
            <w:tcW w:w="1264" w:type="dxa"/>
            <w:tcBorders>
              <w:top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0.047</w:t>
            </w:r>
          </w:p>
        </w:tc>
        <w:tc>
          <w:tcPr>
            <w:tcW w:w="1336" w:type="dxa"/>
            <w:tcBorders>
              <w:top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0.040</w:t>
            </w:r>
          </w:p>
        </w:tc>
      </w:tr>
      <w:tr w:rsidR="00F63CF0" w:rsidRPr="00F63CF0" w:rsidTr="00B44CB7">
        <w:tc>
          <w:tcPr>
            <w:tcW w:w="1335" w:type="dxa"/>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Rubber</w:t>
            </w:r>
          </w:p>
        </w:tc>
        <w:tc>
          <w:tcPr>
            <w:tcW w:w="1335" w:type="dxa"/>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HSUS</w:t>
            </w:r>
          </w:p>
        </w:tc>
        <w:tc>
          <w:tcPr>
            <w:tcW w:w="1336" w:type="dxa"/>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1898-1939</w:t>
            </w:r>
          </w:p>
        </w:tc>
        <w:tc>
          <w:tcPr>
            <w:tcW w:w="1336" w:type="dxa"/>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0.871</w:t>
            </w:r>
          </w:p>
        </w:tc>
        <w:tc>
          <w:tcPr>
            <w:tcW w:w="1408" w:type="dxa"/>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0.375</w:t>
            </w:r>
          </w:p>
        </w:tc>
        <w:tc>
          <w:tcPr>
            <w:tcW w:w="1264" w:type="dxa"/>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0.368</w:t>
            </w:r>
          </w:p>
        </w:tc>
        <w:tc>
          <w:tcPr>
            <w:tcW w:w="1336" w:type="dxa"/>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0.798</w:t>
            </w:r>
          </w:p>
        </w:tc>
      </w:tr>
      <w:tr w:rsidR="00F63CF0" w:rsidRPr="00F63CF0" w:rsidTr="00B44CB7">
        <w:tc>
          <w:tcPr>
            <w:tcW w:w="1335" w:type="dxa"/>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Hides</w:t>
            </w:r>
          </w:p>
        </w:tc>
        <w:tc>
          <w:tcPr>
            <w:tcW w:w="1335" w:type="dxa"/>
          </w:tcPr>
          <w:p w:rsidR="00F63CF0" w:rsidRPr="00F63CF0" w:rsidRDefault="00F63CF0" w:rsidP="00A612C2">
            <w:pPr>
              <w:spacing w:line="360" w:lineRule="auto"/>
              <w:jc w:val="both"/>
              <w:rPr>
                <w:rFonts w:ascii="Times New Roman" w:hAnsi="Times New Roman" w:cs="Times New Roman"/>
              </w:rPr>
            </w:pPr>
            <w:proofErr w:type="spellStart"/>
            <w:r w:rsidRPr="00F63CF0">
              <w:rPr>
                <w:rFonts w:ascii="Times New Roman" w:hAnsi="Times New Roman" w:cs="Times New Roman"/>
              </w:rPr>
              <w:t>Sauerbeck</w:t>
            </w:r>
            <w:proofErr w:type="spellEnd"/>
          </w:p>
        </w:tc>
        <w:tc>
          <w:tcPr>
            <w:tcW w:w="1336" w:type="dxa"/>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1846-1939</w:t>
            </w:r>
          </w:p>
        </w:tc>
        <w:tc>
          <w:tcPr>
            <w:tcW w:w="1336" w:type="dxa"/>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0.942</w:t>
            </w:r>
          </w:p>
        </w:tc>
        <w:tc>
          <w:tcPr>
            <w:tcW w:w="1408" w:type="dxa"/>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0.864</w:t>
            </w:r>
          </w:p>
        </w:tc>
        <w:tc>
          <w:tcPr>
            <w:tcW w:w="1264" w:type="dxa"/>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0.005</w:t>
            </w:r>
          </w:p>
        </w:tc>
        <w:tc>
          <w:tcPr>
            <w:tcW w:w="1336" w:type="dxa"/>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0.089</w:t>
            </w:r>
          </w:p>
        </w:tc>
      </w:tr>
      <w:tr w:rsidR="00F63CF0" w:rsidRPr="00F63CF0" w:rsidTr="00B44CB7">
        <w:tc>
          <w:tcPr>
            <w:tcW w:w="1335" w:type="dxa"/>
            <w:tcBorders>
              <w:bottom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Cotton, raw</w:t>
            </w:r>
          </w:p>
        </w:tc>
        <w:tc>
          <w:tcPr>
            <w:tcW w:w="1335" w:type="dxa"/>
            <w:tcBorders>
              <w:bottom w:val="single" w:sz="4" w:space="0" w:color="auto"/>
            </w:tcBorders>
          </w:tcPr>
          <w:p w:rsidR="00F63CF0" w:rsidRPr="00F63CF0" w:rsidRDefault="00F63CF0" w:rsidP="00A612C2">
            <w:pPr>
              <w:spacing w:line="360" w:lineRule="auto"/>
              <w:jc w:val="both"/>
              <w:rPr>
                <w:rFonts w:ascii="Times New Roman" w:hAnsi="Times New Roman" w:cs="Times New Roman"/>
              </w:rPr>
            </w:pPr>
            <w:proofErr w:type="spellStart"/>
            <w:r w:rsidRPr="00F63CF0">
              <w:rPr>
                <w:rFonts w:ascii="Times New Roman" w:hAnsi="Times New Roman" w:cs="Times New Roman"/>
              </w:rPr>
              <w:t>Sauerbeck</w:t>
            </w:r>
            <w:proofErr w:type="spellEnd"/>
          </w:p>
        </w:tc>
        <w:tc>
          <w:tcPr>
            <w:tcW w:w="1336" w:type="dxa"/>
            <w:tcBorders>
              <w:bottom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1846-1939</w:t>
            </w:r>
          </w:p>
        </w:tc>
        <w:tc>
          <w:tcPr>
            <w:tcW w:w="1336" w:type="dxa"/>
            <w:tcBorders>
              <w:bottom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0.732</w:t>
            </w:r>
          </w:p>
        </w:tc>
        <w:tc>
          <w:tcPr>
            <w:tcW w:w="1408" w:type="dxa"/>
            <w:tcBorders>
              <w:bottom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0.718</w:t>
            </w:r>
          </w:p>
        </w:tc>
        <w:tc>
          <w:tcPr>
            <w:tcW w:w="1264" w:type="dxa"/>
            <w:tcBorders>
              <w:bottom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0.039</w:t>
            </w:r>
          </w:p>
        </w:tc>
        <w:tc>
          <w:tcPr>
            <w:tcW w:w="1336" w:type="dxa"/>
            <w:tcBorders>
              <w:bottom w:val="single" w:sz="4" w:space="0" w:color="auto"/>
            </w:tcBorders>
          </w:tcPr>
          <w:p w:rsidR="00F63CF0" w:rsidRPr="00F63CF0" w:rsidRDefault="00F63CF0" w:rsidP="00A612C2">
            <w:pPr>
              <w:spacing w:line="360" w:lineRule="auto"/>
              <w:jc w:val="both"/>
              <w:rPr>
                <w:rFonts w:ascii="Times New Roman" w:hAnsi="Times New Roman" w:cs="Times New Roman"/>
              </w:rPr>
            </w:pPr>
            <w:r w:rsidRPr="00F63CF0">
              <w:rPr>
                <w:rFonts w:ascii="Times New Roman" w:hAnsi="Times New Roman" w:cs="Times New Roman"/>
              </w:rPr>
              <w:t>0.071</w:t>
            </w:r>
          </w:p>
        </w:tc>
      </w:tr>
      <w:tr w:rsidR="00F63CF0" w:rsidRPr="00F63CF0" w:rsidTr="00B44CB7">
        <w:tc>
          <w:tcPr>
            <w:tcW w:w="9350" w:type="dxa"/>
            <w:gridSpan w:val="7"/>
            <w:tcBorders>
              <w:top w:val="single" w:sz="4" w:space="0" w:color="auto"/>
            </w:tcBorders>
          </w:tcPr>
          <w:p w:rsidR="00F63CF0" w:rsidRPr="00F72584" w:rsidRDefault="00F63CF0" w:rsidP="00A612C2">
            <w:pPr>
              <w:spacing w:line="360" w:lineRule="auto"/>
              <w:jc w:val="both"/>
              <w:rPr>
                <w:rFonts w:ascii="Times New Roman" w:hAnsi="Times New Roman" w:cs="Times New Roman"/>
                <w:i/>
              </w:rPr>
            </w:pPr>
            <w:r w:rsidRPr="00F72584">
              <w:rPr>
                <w:rFonts w:ascii="Times New Roman" w:hAnsi="Times New Roman" w:cs="Times New Roman"/>
                <w:i/>
              </w:rPr>
              <w:t xml:space="preserve">Notes: </w:t>
            </w:r>
            <w:r w:rsidRPr="00F72584">
              <w:rPr>
                <w:rFonts w:ascii="Times New Roman" w:hAnsi="Times New Roman" w:cs="Times New Roman"/>
              </w:rPr>
              <w:t>Correlation of levels Null-test (H0) based on Johansen cointegration test.</w:t>
            </w:r>
          </w:p>
        </w:tc>
      </w:tr>
    </w:tbl>
    <w:p w:rsidR="00F63CF0" w:rsidRPr="00F63CF0" w:rsidRDefault="00F63CF0" w:rsidP="00A612C2">
      <w:pPr>
        <w:spacing w:line="360" w:lineRule="auto"/>
        <w:jc w:val="both"/>
        <w:rPr>
          <w:rFonts w:ascii="Times New Roman" w:hAnsi="Times New Roman" w:cs="Times New Roman"/>
        </w:rPr>
      </w:pPr>
    </w:p>
    <w:p w:rsidR="00F63CF0" w:rsidRPr="00F63CF0" w:rsidRDefault="00F63CF0" w:rsidP="00A612C2">
      <w:pPr>
        <w:spacing w:line="360" w:lineRule="auto"/>
        <w:ind w:firstLine="720"/>
        <w:jc w:val="both"/>
        <w:rPr>
          <w:rFonts w:ascii="Times New Roman" w:hAnsi="Times New Roman" w:cs="Times New Roman"/>
        </w:rPr>
      </w:pPr>
      <w:r w:rsidRPr="00F63CF0">
        <w:rPr>
          <w:rFonts w:ascii="Times New Roman" w:hAnsi="Times New Roman" w:cs="Times New Roman"/>
        </w:rPr>
        <w:t xml:space="preserve">In summary, African and London price series tend to be (highly) correlated and show evidence of cointegration. The reasons why price trends do diverge for some years/periods are difficult to determine and beyond the scope of this paper. For the derivation of African </w:t>
      </w:r>
      <w:proofErr w:type="spellStart"/>
      <w:proofErr w:type="gramStart"/>
      <w:r w:rsidRPr="00F63CF0">
        <w:rPr>
          <w:rFonts w:ascii="Times New Roman" w:hAnsi="Times New Roman" w:cs="Times New Roman"/>
        </w:rPr>
        <w:t>ToT</w:t>
      </w:r>
      <w:proofErr w:type="spellEnd"/>
      <w:proofErr w:type="gramEnd"/>
      <w:r w:rsidRPr="00F63CF0">
        <w:rPr>
          <w:rFonts w:ascii="Times New Roman" w:hAnsi="Times New Roman" w:cs="Times New Roman"/>
        </w:rPr>
        <w:t xml:space="preserve"> it does appear key, however, to base prices for African export commodities on unit values observed at the African coast, which we do.</w:t>
      </w:r>
    </w:p>
    <w:p w:rsidR="00F63CF0" w:rsidRDefault="00F63CF0" w:rsidP="00A612C2">
      <w:pPr>
        <w:spacing w:line="360" w:lineRule="auto"/>
        <w:jc w:val="both"/>
        <w:rPr>
          <w:rFonts w:ascii="Times New Roman" w:hAnsi="Times New Roman" w:cs="Times New Roman"/>
          <w:b/>
        </w:rPr>
      </w:pPr>
    </w:p>
    <w:p w:rsidR="00596B8D" w:rsidRDefault="00596B8D" w:rsidP="00A612C2">
      <w:pPr>
        <w:spacing w:after="160" w:line="259" w:lineRule="auto"/>
        <w:jc w:val="both"/>
        <w:rPr>
          <w:rFonts w:ascii="Times New Roman" w:hAnsi="Times New Roman" w:cs="Times New Roman"/>
          <w:b/>
        </w:rPr>
      </w:pPr>
      <w:r>
        <w:rPr>
          <w:rFonts w:ascii="Times New Roman" w:hAnsi="Times New Roman" w:cs="Times New Roman"/>
          <w:b/>
        </w:rPr>
        <w:br w:type="page"/>
      </w:r>
    </w:p>
    <w:p w:rsidR="0053797B" w:rsidRPr="00F63CF0" w:rsidRDefault="0053797B" w:rsidP="00A612C2">
      <w:pPr>
        <w:spacing w:line="360" w:lineRule="auto"/>
        <w:jc w:val="both"/>
        <w:rPr>
          <w:rFonts w:ascii="Times New Roman" w:hAnsi="Times New Roman" w:cs="Times New Roman"/>
          <w:b/>
        </w:rPr>
      </w:pPr>
      <w:r>
        <w:rPr>
          <w:rFonts w:ascii="Times New Roman" w:hAnsi="Times New Roman" w:cs="Times New Roman"/>
          <w:b/>
        </w:rPr>
        <w:lastRenderedPageBreak/>
        <w:t>IMPORT PRICE INDEX</w:t>
      </w:r>
    </w:p>
    <w:p w:rsidR="0053797B" w:rsidRPr="00D73B1A" w:rsidRDefault="0053797B" w:rsidP="00A612C2">
      <w:pPr>
        <w:spacing w:line="360" w:lineRule="auto"/>
        <w:jc w:val="both"/>
        <w:rPr>
          <w:rFonts w:ascii="Times New Roman" w:hAnsi="Times New Roman" w:cs="Times New Roman"/>
          <w:bCs/>
          <w:szCs w:val="24"/>
          <w:lang w:val="en-US"/>
        </w:rPr>
      </w:pPr>
      <w:r w:rsidRPr="00D73B1A">
        <w:rPr>
          <w:rFonts w:ascii="Times New Roman" w:hAnsi="Times New Roman" w:cs="Times New Roman"/>
          <w:bCs/>
          <w:szCs w:val="24"/>
          <w:lang w:val="en-US"/>
        </w:rPr>
        <w:t>Regional specific terms of trade were derived by dividing the export price indices by a common import price index (Mitchell 1988, pp. 526-28), to capture change in the prices for the primary British manufactures shipped abroad.</w:t>
      </w:r>
    </w:p>
    <w:p w:rsidR="0053797B" w:rsidRPr="00D73B1A" w:rsidRDefault="0053797B" w:rsidP="00A612C2">
      <w:pPr>
        <w:spacing w:line="360" w:lineRule="auto"/>
        <w:ind w:firstLine="720"/>
        <w:jc w:val="both"/>
        <w:rPr>
          <w:rFonts w:ascii="Times New Roman" w:hAnsi="Times New Roman" w:cs="Times New Roman"/>
          <w:lang w:val="en-US"/>
        </w:rPr>
      </w:pPr>
      <w:r w:rsidRPr="00D73B1A">
        <w:rPr>
          <w:rFonts w:ascii="Times New Roman" w:hAnsi="Times New Roman" w:cs="Times New Roman"/>
          <w:lang w:val="en-US"/>
        </w:rPr>
        <w:t xml:space="preserve">In the ACTD we rely on a single import price index to derive the terms of trade for all African countries and regions in our sample. This import price index from </w:t>
      </w:r>
      <w:bookmarkStart w:id="5" w:name="_Hlk496531609"/>
      <w:r w:rsidRPr="00D73B1A">
        <w:rPr>
          <w:rFonts w:ascii="Times New Roman" w:hAnsi="Times New Roman" w:cs="Times New Roman"/>
          <w:lang w:val="en-US"/>
        </w:rPr>
        <w:t>Mitchell (1988</w:t>
      </w:r>
      <w:bookmarkEnd w:id="5"/>
      <w:r w:rsidRPr="00D73B1A">
        <w:rPr>
          <w:rFonts w:ascii="Times New Roman" w:hAnsi="Times New Roman" w:cs="Times New Roman"/>
          <w:lang w:val="en-US"/>
        </w:rPr>
        <w:t>, pp. 526-28) is based on a comprehensive set of products – the prices of which are observed in the United Kingdom – that are shipped to the British colonies and possessions as well as its other trading partners. The main benefit of relying on this common import price index is that the resulting terms of trade series are consistent with the earlier work of Williamson (2011), making a direct comparison of the relative size and duration of the terms of trade boom between Africa and the other ‘peripheral’ countries possible.</w:t>
      </w:r>
    </w:p>
    <w:p w:rsidR="0053797B" w:rsidRPr="00D73B1A" w:rsidRDefault="0053797B" w:rsidP="00A612C2">
      <w:pPr>
        <w:spacing w:line="360" w:lineRule="auto"/>
        <w:ind w:firstLine="720"/>
        <w:jc w:val="both"/>
        <w:rPr>
          <w:rFonts w:ascii="Times New Roman" w:hAnsi="Times New Roman" w:cs="Times New Roman"/>
          <w:lang w:val="en-US"/>
        </w:rPr>
      </w:pPr>
      <w:r w:rsidRPr="00D73B1A">
        <w:rPr>
          <w:rFonts w:ascii="Times New Roman" w:hAnsi="Times New Roman" w:cs="Times New Roman"/>
          <w:lang w:val="en-US"/>
        </w:rPr>
        <w:t>Potential concerns with the use of Mitchell’s import price index are that: (1) the mix of goods shipped to the full range of Britain’s trading partners (including developed countries) may not be representative for the flow of goods sent from the United Kingdom to Africa; (2) the prices of imported goods as observed in Africa may deviate from the prices observed in the United Kingdom; (3) the import price index based on British prices and goods may not be representative for the goods shipped from France to its colonies and possessions. As we will illustrate below, none of these issues appear to have a structural or pronounced effect on the resulting import price index.</w:t>
      </w:r>
    </w:p>
    <w:p w:rsidR="0053797B" w:rsidRPr="00D73B1A" w:rsidRDefault="0053797B" w:rsidP="00A612C2">
      <w:pPr>
        <w:spacing w:line="360" w:lineRule="auto"/>
        <w:ind w:firstLine="720"/>
        <w:jc w:val="both"/>
        <w:rPr>
          <w:rFonts w:ascii="Times New Roman" w:hAnsi="Times New Roman" w:cs="Times New Roman"/>
          <w:lang w:val="en-US"/>
        </w:rPr>
      </w:pPr>
      <w:r w:rsidRPr="00D73B1A">
        <w:rPr>
          <w:rFonts w:ascii="Times New Roman" w:hAnsi="Times New Roman" w:cs="Times New Roman"/>
          <w:lang w:val="en-US"/>
        </w:rPr>
        <w:t xml:space="preserve">To test the representativeness of the import price index by Mitchell, we reconstructed a new price index for the Gambia, Gold Coast and Sierra Leone. For these three British colonies we have reliable data, from 1853 onwards, of the flow and composition of goods shipped from the United Kingdom as well as African price series for the key import items. We derived the value shares of imports from the </w:t>
      </w:r>
      <w:r w:rsidRPr="00D73B1A">
        <w:rPr>
          <w:rFonts w:ascii="Times New Roman" w:hAnsi="Times New Roman" w:cs="Times New Roman"/>
          <w:i/>
          <w:lang w:val="en-US"/>
        </w:rPr>
        <w:t xml:space="preserve">Annual Statement of Trade and Navigation </w:t>
      </w:r>
      <w:r w:rsidRPr="00D73B1A">
        <w:rPr>
          <w:rFonts w:ascii="Times New Roman" w:hAnsi="Times New Roman" w:cs="Times New Roman"/>
          <w:lang w:val="en-US"/>
        </w:rPr>
        <w:t xml:space="preserve">of the United Kingdom, the prices observed at the African coast are from the </w:t>
      </w:r>
      <w:r w:rsidRPr="00D73B1A">
        <w:rPr>
          <w:rFonts w:ascii="Times New Roman" w:hAnsi="Times New Roman" w:cs="Times New Roman"/>
          <w:i/>
          <w:lang w:val="en-US"/>
        </w:rPr>
        <w:t xml:space="preserve">Blue Books </w:t>
      </w:r>
      <w:r w:rsidRPr="00D73B1A">
        <w:rPr>
          <w:rFonts w:ascii="Times New Roman" w:hAnsi="Times New Roman" w:cs="Times New Roman"/>
          <w:lang w:val="en-US"/>
        </w:rPr>
        <w:t xml:space="preserve">and the </w:t>
      </w:r>
      <w:r w:rsidRPr="00D73B1A">
        <w:rPr>
          <w:rFonts w:ascii="Times New Roman" w:hAnsi="Times New Roman" w:cs="Times New Roman"/>
          <w:i/>
          <w:lang w:val="en-US"/>
        </w:rPr>
        <w:t>Statistical Abstract for the Several Colonial and Other Possessions,</w:t>
      </w:r>
      <w:r w:rsidRPr="00D73B1A">
        <w:rPr>
          <w:rFonts w:ascii="Times New Roman" w:hAnsi="Times New Roman" w:cs="Times New Roman"/>
          <w:lang w:val="en-US"/>
        </w:rPr>
        <w:t xml:space="preserve"> and – for those products where no African prices are available – we used the British export prices from the </w:t>
      </w:r>
      <w:r w:rsidRPr="00D73B1A">
        <w:rPr>
          <w:rFonts w:ascii="Times New Roman" w:hAnsi="Times New Roman" w:cs="Times New Roman"/>
          <w:i/>
          <w:lang w:val="en-US"/>
        </w:rPr>
        <w:t>Statistical Abstract for the United Kingdom</w:t>
      </w:r>
      <w:r w:rsidRPr="00D73B1A">
        <w:rPr>
          <w:rFonts w:ascii="Times New Roman" w:hAnsi="Times New Roman" w:cs="Times New Roman"/>
          <w:lang w:val="en-US"/>
        </w:rPr>
        <w:t xml:space="preserve">. Table </w:t>
      </w:r>
      <w:r w:rsidR="00D73B1A" w:rsidRPr="00D73B1A">
        <w:rPr>
          <w:rFonts w:ascii="Times New Roman" w:hAnsi="Times New Roman" w:cs="Times New Roman"/>
          <w:lang w:val="en-US"/>
        </w:rPr>
        <w:t>2</w:t>
      </w:r>
      <w:r w:rsidRPr="00D73B1A">
        <w:rPr>
          <w:rFonts w:ascii="Times New Roman" w:hAnsi="Times New Roman" w:cs="Times New Roman"/>
          <w:lang w:val="en-US"/>
        </w:rPr>
        <w:t xml:space="preserve"> summarizes the value shares of thirteen key imported goods which together cover over 75 percent of the total value of imports into the Gold Coast, Gambia and Sierra Leone over the period 1853-1902.</w:t>
      </w:r>
    </w:p>
    <w:p w:rsidR="0053797B" w:rsidRPr="00D73B1A" w:rsidRDefault="0053797B" w:rsidP="00A612C2">
      <w:pPr>
        <w:spacing w:line="360" w:lineRule="auto"/>
        <w:jc w:val="both"/>
        <w:rPr>
          <w:rFonts w:ascii="Times New Roman" w:hAnsi="Times New Roman" w:cs="Times New Roman"/>
          <w:lang w:val="en-US"/>
        </w:rPr>
      </w:pPr>
    </w:p>
    <w:tbl>
      <w:tblPr>
        <w:tblW w:w="8460" w:type="dxa"/>
        <w:tblLook w:val="04A0" w:firstRow="1" w:lastRow="0" w:firstColumn="1" w:lastColumn="0" w:noHBand="0" w:noVBand="1"/>
      </w:tblPr>
      <w:tblGrid>
        <w:gridCol w:w="3030"/>
        <w:gridCol w:w="1864"/>
        <w:gridCol w:w="1766"/>
        <w:gridCol w:w="1800"/>
      </w:tblGrid>
      <w:tr w:rsidR="0053797B" w:rsidRPr="00D73B1A" w:rsidTr="00B44CB7">
        <w:trPr>
          <w:trHeight w:val="300"/>
        </w:trPr>
        <w:tc>
          <w:tcPr>
            <w:tcW w:w="8460" w:type="dxa"/>
            <w:gridSpan w:val="4"/>
            <w:tcBorders>
              <w:top w:val="nil"/>
              <w:left w:val="nil"/>
              <w:bottom w:val="single" w:sz="4" w:space="0" w:color="auto"/>
              <w:right w:val="nil"/>
            </w:tcBorders>
            <w:shd w:val="clear" w:color="auto" w:fill="auto"/>
            <w:noWrap/>
            <w:vAlign w:val="bottom"/>
            <w:hideMark/>
          </w:tcPr>
          <w:p w:rsidR="0053797B" w:rsidRPr="00D73B1A" w:rsidRDefault="00D73B1A" w:rsidP="00A612C2">
            <w:pPr>
              <w:keepNext/>
              <w:spacing w:line="240" w:lineRule="auto"/>
              <w:jc w:val="both"/>
              <w:rPr>
                <w:rFonts w:ascii="Times New Roman" w:eastAsia="Times New Roman" w:hAnsi="Times New Roman" w:cs="Times New Roman"/>
                <w:b/>
                <w:bCs/>
                <w:color w:val="000000"/>
                <w:sz w:val="20"/>
                <w:lang w:val="en-US"/>
              </w:rPr>
            </w:pPr>
            <w:r w:rsidRPr="00D73B1A">
              <w:rPr>
                <w:rFonts w:ascii="Times New Roman" w:eastAsia="Times New Roman" w:hAnsi="Times New Roman" w:cs="Times New Roman"/>
                <w:b/>
                <w:bCs/>
                <w:color w:val="000000"/>
                <w:sz w:val="20"/>
                <w:lang w:val="en-US"/>
              </w:rPr>
              <w:lastRenderedPageBreak/>
              <w:t>Table 2</w:t>
            </w:r>
            <w:r w:rsidR="0053797B" w:rsidRPr="00D73B1A">
              <w:rPr>
                <w:rFonts w:ascii="Times New Roman" w:eastAsia="Times New Roman" w:hAnsi="Times New Roman" w:cs="Times New Roman"/>
                <w:b/>
                <w:bCs/>
                <w:color w:val="000000"/>
                <w:sz w:val="20"/>
                <w:lang w:val="en-US"/>
              </w:rPr>
              <w:t>: Value shares of key imports into British West Africa, 1853-1902 (%)</w:t>
            </w:r>
          </w:p>
        </w:tc>
      </w:tr>
      <w:tr w:rsidR="0053797B" w:rsidRPr="00D73B1A" w:rsidTr="00B44CB7">
        <w:trPr>
          <w:trHeight w:val="300"/>
        </w:trPr>
        <w:tc>
          <w:tcPr>
            <w:tcW w:w="3030" w:type="dxa"/>
            <w:vMerge w:val="restart"/>
            <w:tcBorders>
              <w:top w:val="nil"/>
              <w:left w:val="nil"/>
              <w:bottom w:val="single" w:sz="4" w:space="0" w:color="000000"/>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i/>
                <w:iCs/>
                <w:color w:val="000000"/>
                <w:sz w:val="20"/>
                <w:lang w:val="en-US"/>
              </w:rPr>
            </w:pPr>
            <w:r w:rsidRPr="00D73B1A">
              <w:rPr>
                <w:rFonts w:ascii="Times New Roman" w:eastAsia="Times New Roman" w:hAnsi="Times New Roman" w:cs="Times New Roman"/>
                <w:i/>
                <w:iCs/>
                <w:color w:val="000000"/>
                <w:sz w:val="20"/>
                <w:lang w:val="en-US"/>
              </w:rPr>
              <w:t>Product</w:t>
            </w:r>
          </w:p>
        </w:tc>
        <w:tc>
          <w:tcPr>
            <w:tcW w:w="3630" w:type="dxa"/>
            <w:gridSpan w:val="2"/>
            <w:tcBorders>
              <w:top w:val="nil"/>
              <w:left w:val="nil"/>
              <w:bottom w:val="single" w:sz="4" w:space="0" w:color="auto"/>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i/>
                <w:iCs/>
                <w:color w:val="000000"/>
                <w:sz w:val="20"/>
                <w:lang w:val="en-US"/>
              </w:rPr>
            </w:pPr>
            <w:r w:rsidRPr="00D73B1A">
              <w:rPr>
                <w:rFonts w:ascii="Times New Roman" w:eastAsia="Times New Roman" w:hAnsi="Times New Roman" w:cs="Times New Roman"/>
                <w:i/>
                <w:iCs/>
                <w:color w:val="000000"/>
                <w:sz w:val="20"/>
                <w:lang w:val="en-US"/>
              </w:rPr>
              <w:t>Imports into</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i/>
                <w:iCs/>
                <w:color w:val="000000"/>
                <w:sz w:val="20"/>
                <w:lang w:val="en-US"/>
              </w:rPr>
            </w:pPr>
            <w:r w:rsidRPr="00D73B1A">
              <w:rPr>
                <w:rFonts w:ascii="Times New Roman" w:eastAsia="Times New Roman" w:hAnsi="Times New Roman" w:cs="Times New Roman"/>
                <w:i/>
                <w:iCs/>
                <w:color w:val="000000"/>
                <w:sz w:val="20"/>
                <w:lang w:val="en-US"/>
              </w:rPr>
              <w:t>Exports from</w:t>
            </w:r>
          </w:p>
        </w:tc>
      </w:tr>
      <w:tr w:rsidR="0053797B" w:rsidRPr="00D73B1A" w:rsidTr="00B44CB7">
        <w:trPr>
          <w:trHeight w:val="548"/>
        </w:trPr>
        <w:tc>
          <w:tcPr>
            <w:tcW w:w="3030" w:type="dxa"/>
            <w:vMerge/>
            <w:tcBorders>
              <w:top w:val="single" w:sz="4" w:space="0" w:color="auto"/>
              <w:left w:val="nil"/>
              <w:bottom w:val="single" w:sz="4" w:space="0" w:color="000000"/>
              <w:right w:val="nil"/>
            </w:tcBorders>
            <w:vAlign w:val="center"/>
            <w:hideMark/>
          </w:tcPr>
          <w:p w:rsidR="0053797B" w:rsidRPr="00D73B1A" w:rsidRDefault="0053797B" w:rsidP="00A612C2">
            <w:pPr>
              <w:keepNext/>
              <w:spacing w:line="240" w:lineRule="auto"/>
              <w:jc w:val="both"/>
              <w:rPr>
                <w:rFonts w:ascii="Times New Roman" w:eastAsia="Times New Roman" w:hAnsi="Times New Roman" w:cs="Times New Roman"/>
                <w:i/>
                <w:iCs/>
                <w:color w:val="000000"/>
                <w:sz w:val="20"/>
                <w:lang w:val="en-US"/>
              </w:rPr>
            </w:pPr>
          </w:p>
        </w:tc>
        <w:tc>
          <w:tcPr>
            <w:tcW w:w="1864" w:type="dxa"/>
            <w:tcBorders>
              <w:top w:val="single" w:sz="4" w:space="0" w:color="auto"/>
              <w:left w:val="nil"/>
              <w:bottom w:val="single" w:sz="4" w:space="0" w:color="auto"/>
              <w:right w:val="nil"/>
            </w:tcBorders>
            <w:shd w:val="clear" w:color="auto" w:fill="auto"/>
            <w:vAlign w:val="bottom"/>
            <w:hideMark/>
          </w:tcPr>
          <w:p w:rsidR="0053797B" w:rsidRPr="00D73B1A" w:rsidRDefault="0053797B" w:rsidP="00A612C2">
            <w:pPr>
              <w:keepNext/>
              <w:spacing w:line="240" w:lineRule="auto"/>
              <w:jc w:val="both"/>
              <w:rPr>
                <w:rFonts w:ascii="Times New Roman" w:eastAsia="Times New Roman" w:hAnsi="Times New Roman" w:cs="Times New Roman"/>
                <w:i/>
                <w:iCs/>
                <w:color w:val="000000"/>
                <w:sz w:val="20"/>
                <w:lang w:val="en-US"/>
              </w:rPr>
            </w:pPr>
            <w:r w:rsidRPr="00D73B1A">
              <w:rPr>
                <w:rFonts w:ascii="Times New Roman" w:eastAsia="Times New Roman" w:hAnsi="Times New Roman" w:cs="Times New Roman"/>
                <w:i/>
                <w:iCs/>
                <w:color w:val="000000"/>
                <w:sz w:val="20"/>
                <w:lang w:val="en-US"/>
              </w:rPr>
              <w:t>Gold Coast</w:t>
            </w:r>
          </w:p>
        </w:tc>
        <w:tc>
          <w:tcPr>
            <w:tcW w:w="1766" w:type="dxa"/>
            <w:tcBorders>
              <w:top w:val="single" w:sz="4" w:space="0" w:color="auto"/>
              <w:left w:val="nil"/>
              <w:bottom w:val="single" w:sz="4" w:space="0" w:color="auto"/>
              <w:right w:val="nil"/>
            </w:tcBorders>
            <w:shd w:val="clear" w:color="auto" w:fill="auto"/>
            <w:vAlign w:val="bottom"/>
            <w:hideMark/>
          </w:tcPr>
          <w:p w:rsidR="0053797B" w:rsidRPr="00D73B1A" w:rsidRDefault="0053797B" w:rsidP="00A612C2">
            <w:pPr>
              <w:keepNext/>
              <w:spacing w:line="240" w:lineRule="auto"/>
              <w:jc w:val="both"/>
              <w:rPr>
                <w:rFonts w:ascii="Times New Roman" w:eastAsia="Times New Roman" w:hAnsi="Times New Roman" w:cs="Times New Roman"/>
                <w:i/>
                <w:iCs/>
                <w:color w:val="000000"/>
                <w:sz w:val="20"/>
                <w:lang w:val="en-US"/>
              </w:rPr>
            </w:pPr>
            <w:r w:rsidRPr="00D73B1A">
              <w:rPr>
                <w:rFonts w:ascii="Times New Roman" w:eastAsia="Times New Roman" w:hAnsi="Times New Roman" w:cs="Times New Roman"/>
                <w:i/>
                <w:iCs/>
                <w:color w:val="000000"/>
                <w:sz w:val="20"/>
                <w:lang w:val="en-US"/>
              </w:rPr>
              <w:t>Gambia and Sierra Leone</w:t>
            </w:r>
          </w:p>
        </w:tc>
        <w:tc>
          <w:tcPr>
            <w:tcW w:w="1800" w:type="dxa"/>
            <w:tcBorders>
              <w:top w:val="nil"/>
              <w:left w:val="nil"/>
              <w:bottom w:val="single" w:sz="4" w:space="0" w:color="auto"/>
              <w:right w:val="nil"/>
            </w:tcBorders>
            <w:shd w:val="clear" w:color="auto" w:fill="auto"/>
            <w:vAlign w:val="bottom"/>
            <w:hideMark/>
          </w:tcPr>
          <w:p w:rsidR="0053797B" w:rsidRPr="00D73B1A" w:rsidRDefault="0053797B" w:rsidP="00A612C2">
            <w:pPr>
              <w:keepNext/>
              <w:spacing w:line="240" w:lineRule="auto"/>
              <w:jc w:val="both"/>
              <w:rPr>
                <w:rFonts w:ascii="Times New Roman" w:eastAsia="Times New Roman" w:hAnsi="Times New Roman" w:cs="Times New Roman"/>
                <w:i/>
                <w:iCs/>
                <w:color w:val="000000"/>
                <w:sz w:val="20"/>
                <w:lang w:val="en-US"/>
              </w:rPr>
            </w:pPr>
            <w:r w:rsidRPr="00D73B1A">
              <w:rPr>
                <w:rFonts w:ascii="Times New Roman" w:eastAsia="Times New Roman" w:hAnsi="Times New Roman" w:cs="Times New Roman"/>
                <w:i/>
                <w:iCs/>
                <w:color w:val="000000"/>
                <w:sz w:val="20"/>
                <w:lang w:val="en-US"/>
              </w:rPr>
              <w:t>The United Kingdom</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Rice</w:t>
            </w:r>
          </w:p>
        </w:tc>
        <w:tc>
          <w:tcPr>
            <w:tcW w:w="1864"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1.0</w:t>
            </w:r>
          </w:p>
        </w:tc>
        <w:tc>
          <w:tcPr>
            <w:tcW w:w="1766"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11.3</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0.5</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Beer</w:t>
            </w:r>
          </w:p>
        </w:tc>
        <w:tc>
          <w:tcPr>
            <w:tcW w:w="1864"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0.4</w:t>
            </w:r>
          </w:p>
        </w:tc>
        <w:tc>
          <w:tcPr>
            <w:tcW w:w="1766"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1.4</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0.7</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Spirits</w:t>
            </w:r>
          </w:p>
        </w:tc>
        <w:tc>
          <w:tcPr>
            <w:tcW w:w="1864"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0.7</w:t>
            </w:r>
          </w:p>
        </w:tc>
        <w:tc>
          <w:tcPr>
            <w:tcW w:w="1766"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1.4</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0.6</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Tobacco</w:t>
            </w:r>
          </w:p>
        </w:tc>
        <w:tc>
          <w:tcPr>
            <w:tcW w:w="1864"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1.0</w:t>
            </w:r>
          </w:p>
        </w:tc>
        <w:tc>
          <w:tcPr>
            <w:tcW w:w="1766"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3.3</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0.2</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Gunpowder</w:t>
            </w:r>
          </w:p>
        </w:tc>
        <w:tc>
          <w:tcPr>
            <w:tcW w:w="1864"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2.8</w:t>
            </w:r>
          </w:p>
        </w:tc>
        <w:tc>
          <w:tcPr>
            <w:tcW w:w="1766"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4.8</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0.1</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Wooden goods</w:t>
            </w:r>
          </w:p>
        </w:tc>
        <w:tc>
          <w:tcPr>
            <w:tcW w:w="1864"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3.1</w:t>
            </w:r>
          </w:p>
        </w:tc>
        <w:tc>
          <w:tcPr>
            <w:tcW w:w="1766"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0.3</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0.1</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Silk goods</w:t>
            </w:r>
          </w:p>
        </w:tc>
        <w:tc>
          <w:tcPr>
            <w:tcW w:w="1864"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1.3</w:t>
            </w:r>
          </w:p>
        </w:tc>
        <w:tc>
          <w:tcPr>
            <w:tcW w:w="1766"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0.7</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Cotton goods</w:t>
            </w:r>
          </w:p>
        </w:tc>
        <w:tc>
          <w:tcPr>
            <w:tcW w:w="1864"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54.8</w:t>
            </w:r>
          </w:p>
        </w:tc>
        <w:tc>
          <w:tcPr>
            <w:tcW w:w="1766"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52.1</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22.2</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Apparel and slops</w:t>
            </w:r>
          </w:p>
        </w:tc>
        <w:tc>
          <w:tcPr>
            <w:tcW w:w="1864"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2.5</w:t>
            </w:r>
          </w:p>
        </w:tc>
        <w:tc>
          <w:tcPr>
            <w:tcW w:w="1766"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5.8</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1.4</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Beads</w:t>
            </w:r>
          </w:p>
        </w:tc>
        <w:tc>
          <w:tcPr>
            <w:tcW w:w="1864"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1.6</w:t>
            </w:r>
          </w:p>
        </w:tc>
        <w:tc>
          <w:tcPr>
            <w:tcW w:w="1766"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1.0</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Iron</w:t>
            </w:r>
          </w:p>
        </w:tc>
        <w:tc>
          <w:tcPr>
            <w:tcW w:w="1864"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1.6</w:t>
            </w:r>
          </w:p>
        </w:tc>
        <w:tc>
          <w:tcPr>
            <w:tcW w:w="1766"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4.2</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8.5</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Brass</w:t>
            </w:r>
          </w:p>
        </w:tc>
        <w:tc>
          <w:tcPr>
            <w:tcW w:w="1864"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2.4</w:t>
            </w:r>
          </w:p>
        </w:tc>
        <w:tc>
          <w:tcPr>
            <w:tcW w:w="1766"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0.1</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Firearms</w:t>
            </w:r>
          </w:p>
        </w:tc>
        <w:tc>
          <w:tcPr>
            <w:tcW w:w="1864"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1.7</w:t>
            </w:r>
          </w:p>
        </w:tc>
        <w:tc>
          <w:tcPr>
            <w:tcW w:w="1766"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6.3</w:t>
            </w:r>
          </w:p>
        </w:tc>
        <w:tc>
          <w:tcPr>
            <w:tcW w:w="180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0.2</w:t>
            </w:r>
          </w:p>
        </w:tc>
      </w:tr>
      <w:tr w:rsidR="0053797B" w:rsidRPr="00D73B1A" w:rsidTr="00B44CB7">
        <w:trPr>
          <w:trHeight w:val="300"/>
        </w:trPr>
        <w:tc>
          <w:tcPr>
            <w:tcW w:w="3030" w:type="dxa"/>
            <w:tcBorders>
              <w:top w:val="nil"/>
              <w:left w:val="nil"/>
              <w:bottom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Other</w:t>
            </w:r>
          </w:p>
        </w:tc>
        <w:tc>
          <w:tcPr>
            <w:tcW w:w="1864" w:type="dxa"/>
            <w:tcBorders>
              <w:top w:val="nil"/>
              <w:left w:val="nil"/>
              <w:bottom w:val="single" w:sz="4" w:space="0" w:color="auto"/>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25.0</w:t>
            </w:r>
          </w:p>
        </w:tc>
        <w:tc>
          <w:tcPr>
            <w:tcW w:w="1766" w:type="dxa"/>
            <w:tcBorders>
              <w:top w:val="nil"/>
              <w:left w:val="nil"/>
              <w:bottom w:val="single" w:sz="4" w:space="0" w:color="auto"/>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8.0</w:t>
            </w:r>
          </w:p>
        </w:tc>
        <w:tc>
          <w:tcPr>
            <w:tcW w:w="1800" w:type="dxa"/>
            <w:tcBorders>
              <w:top w:val="nil"/>
              <w:left w:val="nil"/>
              <w:bottom w:val="single" w:sz="4" w:space="0" w:color="auto"/>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64.6</w:t>
            </w:r>
          </w:p>
        </w:tc>
      </w:tr>
      <w:tr w:rsidR="0053797B" w:rsidRPr="00D73B1A" w:rsidTr="00B44CB7">
        <w:trPr>
          <w:trHeight w:val="300"/>
        </w:trPr>
        <w:tc>
          <w:tcPr>
            <w:tcW w:w="3030" w:type="dxa"/>
            <w:tcBorders>
              <w:top w:val="nil"/>
              <w:left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TOTAL</w:t>
            </w:r>
          </w:p>
        </w:tc>
        <w:tc>
          <w:tcPr>
            <w:tcW w:w="1864" w:type="dxa"/>
            <w:tcBorders>
              <w:top w:val="nil"/>
              <w:left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100.0</w:t>
            </w:r>
          </w:p>
        </w:tc>
        <w:tc>
          <w:tcPr>
            <w:tcW w:w="1766" w:type="dxa"/>
            <w:tcBorders>
              <w:top w:val="nil"/>
              <w:left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100.0</w:t>
            </w:r>
          </w:p>
        </w:tc>
        <w:tc>
          <w:tcPr>
            <w:tcW w:w="1800" w:type="dxa"/>
            <w:tcBorders>
              <w:top w:val="nil"/>
              <w:left w:val="nil"/>
              <w:right w:val="nil"/>
            </w:tcBorders>
            <w:shd w:val="clear" w:color="auto" w:fill="auto"/>
            <w:noWrap/>
            <w:vAlign w:val="bottom"/>
            <w:hideMark/>
          </w:tcPr>
          <w:p w:rsidR="0053797B" w:rsidRPr="00D73B1A" w:rsidRDefault="0053797B" w:rsidP="00A612C2">
            <w:pPr>
              <w:keepNext/>
              <w:spacing w:line="240" w:lineRule="auto"/>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color w:val="000000"/>
                <w:sz w:val="20"/>
                <w:lang w:val="en-US"/>
              </w:rPr>
              <w:t>100.0</w:t>
            </w:r>
          </w:p>
        </w:tc>
      </w:tr>
      <w:tr w:rsidR="0053797B" w:rsidRPr="00D73B1A" w:rsidTr="00B44CB7">
        <w:trPr>
          <w:trHeight w:val="300"/>
        </w:trPr>
        <w:tc>
          <w:tcPr>
            <w:tcW w:w="8460" w:type="dxa"/>
            <w:gridSpan w:val="4"/>
            <w:tcBorders>
              <w:top w:val="single" w:sz="4" w:space="0" w:color="auto"/>
              <w:left w:val="nil"/>
              <w:bottom w:val="nil"/>
              <w:right w:val="nil"/>
            </w:tcBorders>
            <w:shd w:val="clear" w:color="auto" w:fill="auto"/>
            <w:noWrap/>
            <w:vAlign w:val="bottom"/>
            <w:hideMark/>
          </w:tcPr>
          <w:p w:rsidR="0053797B" w:rsidRPr="00D73B1A" w:rsidRDefault="0053797B" w:rsidP="00A612C2">
            <w:pPr>
              <w:keepNext/>
              <w:jc w:val="both"/>
              <w:rPr>
                <w:rFonts w:ascii="Times New Roman" w:eastAsia="Times New Roman" w:hAnsi="Times New Roman" w:cs="Times New Roman"/>
                <w:iCs/>
                <w:color w:val="000000"/>
                <w:sz w:val="20"/>
                <w:lang w:val="en-US"/>
              </w:rPr>
            </w:pPr>
            <w:r w:rsidRPr="00D73B1A">
              <w:rPr>
                <w:rFonts w:ascii="Times New Roman" w:eastAsia="Times New Roman" w:hAnsi="Times New Roman" w:cs="Times New Roman"/>
                <w:i/>
                <w:iCs/>
                <w:color w:val="000000"/>
                <w:sz w:val="20"/>
                <w:lang w:val="en-US"/>
              </w:rPr>
              <w:t>Notes:</w:t>
            </w:r>
            <w:r w:rsidRPr="00D73B1A">
              <w:rPr>
                <w:rFonts w:ascii="Times New Roman" w:eastAsia="Times New Roman" w:hAnsi="Times New Roman" w:cs="Times New Roman"/>
                <w:iCs/>
                <w:color w:val="000000"/>
                <w:sz w:val="20"/>
                <w:lang w:val="en-US"/>
              </w:rPr>
              <w:t xml:space="preserve"> items listed as “…” are not mentioned in the primary source.</w:t>
            </w:r>
          </w:p>
          <w:p w:rsidR="0053797B" w:rsidRPr="00D73B1A" w:rsidRDefault="0053797B" w:rsidP="00A612C2">
            <w:pPr>
              <w:keepNext/>
              <w:jc w:val="both"/>
              <w:rPr>
                <w:rFonts w:ascii="Times New Roman" w:eastAsia="Times New Roman" w:hAnsi="Times New Roman" w:cs="Times New Roman"/>
                <w:color w:val="000000"/>
                <w:sz w:val="20"/>
                <w:lang w:val="en-US"/>
              </w:rPr>
            </w:pPr>
            <w:r w:rsidRPr="00D73B1A">
              <w:rPr>
                <w:rFonts w:ascii="Times New Roman" w:eastAsia="Times New Roman" w:hAnsi="Times New Roman" w:cs="Times New Roman"/>
                <w:i/>
                <w:color w:val="000000"/>
                <w:sz w:val="20"/>
                <w:lang w:val="en-US"/>
              </w:rPr>
              <w:t>Sources:</w:t>
            </w:r>
            <w:r w:rsidRPr="00D73B1A">
              <w:rPr>
                <w:rFonts w:ascii="Times New Roman" w:eastAsia="Times New Roman" w:hAnsi="Times New Roman" w:cs="Times New Roman"/>
                <w:color w:val="000000"/>
                <w:sz w:val="20"/>
                <w:lang w:val="en-US"/>
              </w:rPr>
              <w:t xml:space="preserve"> for Gold Coast, Gambia and Sierra Leone: </w:t>
            </w:r>
            <w:r w:rsidRPr="00D73B1A">
              <w:rPr>
                <w:rFonts w:ascii="Times New Roman" w:eastAsia="Times New Roman" w:hAnsi="Times New Roman" w:cs="Times New Roman"/>
                <w:i/>
                <w:iCs/>
                <w:color w:val="000000"/>
                <w:sz w:val="20"/>
                <w:lang w:val="en-US"/>
              </w:rPr>
              <w:t xml:space="preserve">Annual Statement of Trade and Navigation of the United Kingdom </w:t>
            </w:r>
            <w:r w:rsidRPr="00D73B1A">
              <w:rPr>
                <w:rFonts w:ascii="Times New Roman" w:eastAsia="Times New Roman" w:hAnsi="Times New Roman" w:cs="Times New Roman"/>
                <w:iCs/>
                <w:color w:val="000000"/>
                <w:sz w:val="20"/>
                <w:lang w:val="en-US"/>
              </w:rPr>
              <w:t xml:space="preserve">(1856, 1861, 1866, 1871, 1876, 1881, 1887, 1892, 1897, 1902); for the UK: </w:t>
            </w:r>
            <w:r w:rsidRPr="00D73B1A">
              <w:rPr>
                <w:rFonts w:ascii="Times New Roman" w:eastAsia="Times New Roman" w:hAnsi="Times New Roman" w:cs="Times New Roman"/>
                <w:i/>
                <w:color w:val="000000"/>
                <w:sz w:val="20"/>
                <w:lang w:val="en-US"/>
              </w:rPr>
              <w:t xml:space="preserve">Statistical Abstract for the United Kingdom in each of the last fifteen years </w:t>
            </w:r>
            <w:r w:rsidRPr="00D73B1A">
              <w:rPr>
                <w:rFonts w:ascii="Times New Roman" w:eastAsia="Times New Roman" w:hAnsi="Times New Roman" w:cs="Times New Roman"/>
                <w:iCs/>
                <w:color w:val="000000"/>
                <w:sz w:val="20"/>
                <w:lang w:val="en-US"/>
              </w:rPr>
              <w:t>(1868, 1874, 1887, 1898, 1903).</w:t>
            </w:r>
          </w:p>
        </w:tc>
      </w:tr>
    </w:tbl>
    <w:p w:rsidR="0053797B" w:rsidRPr="00D73B1A" w:rsidRDefault="0053797B" w:rsidP="00A612C2">
      <w:pPr>
        <w:spacing w:line="360" w:lineRule="auto"/>
        <w:jc w:val="both"/>
        <w:rPr>
          <w:rFonts w:ascii="Times New Roman" w:hAnsi="Times New Roman" w:cs="Times New Roman"/>
          <w:lang w:val="en-US"/>
        </w:rPr>
      </w:pPr>
    </w:p>
    <w:p w:rsidR="0053797B" w:rsidRPr="00D73B1A" w:rsidRDefault="00D73B1A" w:rsidP="00A612C2">
      <w:pPr>
        <w:spacing w:line="360" w:lineRule="auto"/>
        <w:ind w:firstLine="720"/>
        <w:jc w:val="both"/>
        <w:rPr>
          <w:rFonts w:ascii="Times New Roman" w:hAnsi="Times New Roman" w:cs="Times New Roman"/>
          <w:lang w:val="en-US"/>
        </w:rPr>
      </w:pPr>
      <w:r>
        <w:rPr>
          <w:rFonts w:ascii="Times New Roman" w:hAnsi="Times New Roman" w:cs="Times New Roman"/>
          <w:lang w:val="en-US"/>
        </w:rPr>
        <w:t>Table 2</w:t>
      </w:r>
      <w:r w:rsidR="0053797B" w:rsidRPr="00D73B1A">
        <w:rPr>
          <w:rFonts w:ascii="Times New Roman" w:hAnsi="Times New Roman" w:cs="Times New Roman"/>
          <w:lang w:val="en-US"/>
        </w:rPr>
        <w:t xml:space="preserve"> shows that the import shares for British West Africa did indeed deviate from the overall export mix of the United Kingdom. All three African countries predominantly import </w:t>
      </w:r>
      <w:r w:rsidR="0053797B" w:rsidRPr="00D73B1A">
        <w:rPr>
          <w:rFonts w:ascii="Times New Roman" w:hAnsi="Times New Roman" w:cs="Times New Roman"/>
          <w:i/>
          <w:lang w:val="en-US"/>
        </w:rPr>
        <w:t>cotton goods</w:t>
      </w:r>
      <w:r w:rsidR="0053797B" w:rsidRPr="00D73B1A">
        <w:rPr>
          <w:rFonts w:ascii="Times New Roman" w:hAnsi="Times New Roman" w:cs="Times New Roman"/>
          <w:lang w:val="en-US"/>
        </w:rPr>
        <w:t xml:space="preserve">, but </w:t>
      </w:r>
      <w:r w:rsidR="0053797B" w:rsidRPr="00D73B1A">
        <w:rPr>
          <w:rFonts w:ascii="Times New Roman" w:hAnsi="Times New Roman" w:cs="Times New Roman"/>
          <w:i/>
          <w:lang w:val="en-US"/>
        </w:rPr>
        <w:t>tobacco</w:t>
      </w:r>
      <w:r w:rsidR="0053797B" w:rsidRPr="00D73B1A">
        <w:rPr>
          <w:rFonts w:ascii="Times New Roman" w:hAnsi="Times New Roman" w:cs="Times New Roman"/>
          <w:lang w:val="en-US"/>
        </w:rPr>
        <w:t xml:space="preserve">, </w:t>
      </w:r>
      <w:r w:rsidR="0053797B" w:rsidRPr="00D73B1A">
        <w:rPr>
          <w:rFonts w:ascii="Times New Roman" w:hAnsi="Times New Roman" w:cs="Times New Roman"/>
          <w:i/>
          <w:lang w:val="en-US"/>
        </w:rPr>
        <w:t>gunpowder</w:t>
      </w:r>
      <w:r w:rsidR="0053797B" w:rsidRPr="00D73B1A">
        <w:rPr>
          <w:rFonts w:ascii="Times New Roman" w:hAnsi="Times New Roman" w:cs="Times New Roman"/>
          <w:lang w:val="en-US"/>
        </w:rPr>
        <w:t xml:space="preserve"> and </w:t>
      </w:r>
      <w:r w:rsidR="0053797B" w:rsidRPr="00D73B1A">
        <w:rPr>
          <w:rFonts w:ascii="Times New Roman" w:hAnsi="Times New Roman" w:cs="Times New Roman"/>
          <w:i/>
          <w:lang w:val="en-US"/>
        </w:rPr>
        <w:t>firearms</w:t>
      </w:r>
      <w:r w:rsidR="0053797B" w:rsidRPr="00D73B1A">
        <w:rPr>
          <w:rFonts w:ascii="Times New Roman" w:hAnsi="Times New Roman" w:cs="Times New Roman"/>
          <w:lang w:val="en-US"/>
        </w:rPr>
        <w:t xml:space="preserve"> also make up a sizable share of the value of West African imports. Cotton cloth is a major export item for the United Kingdom, but a substantial share of British exports remains uncovered by these thirteen items. Important items such as machinery, woolen goods and processed food were scarcely imported into Africa. </w:t>
      </w:r>
    </w:p>
    <w:p w:rsidR="0053797B" w:rsidRPr="00D73B1A" w:rsidRDefault="0053797B" w:rsidP="00A612C2">
      <w:pPr>
        <w:spacing w:line="360" w:lineRule="auto"/>
        <w:ind w:firstLine="720"/>
        <w:jc w:val="both"/>
        <w:rPr>
          <w:rFonts w:ascii="Times New Roman" w:hAnsi="Times New Roman" w:cs="Times New Roman"/>
          <w:lang w:val="en-US"/>
        </w:rPr>
      </w:pPr>
      <w:r w:rsidRPr="00D73B1A">
        <w:rPr>
          <w:rFonts w:ascii="Times New Roman" w:hAnsi="Times New Roman" w:cs="Times New Roman"/>
          <w:lang w:val="en-US"/>
        </w:rPr>
        <w:t xml:space="preserve">To see whether the divergent import mix for British West Africa affects the import price index as well, we combine the average value shares for each decade with annual price indices for these thirteen items. Unfortunately, no reliable set of African prices was available for </w:t>
      </w:r>
      <w:r w:rsidRPr="00D73B1A">
        <w:rPr>
          <w:rFonts w:ascii="Times New Roman" w:hAnsi="Times New Roman" w:cs="Times New Roman"/>
          <w:i/>
          <w:lang w:val="en-US"/>
        </w:rPr>
        <w:t>cotton goods</w:t>
      </w:r>
      <w:r w:rsidRPr="00D73B1A">
        <w:rPr>
          <w:rFonts w:ascii="Times New Roman" w:hAnsi="Times New Roman" w:cs="Times New Roman"/>
          <w:lang w:val="en-US"/>
        </w:rPr>
        <w:t xml:space="preserve">, </w:t>
      </w:r>
      <w:r w:rsidRPr="00D73B1A">
        <w:rPr>
          <w:rFonts w:ascii="Times New Roman" w:hAnsi="Times New Roman" w:cs="Times New Roman"/>
          <w:i/>
          <w:lang w:val="en-US"/>
        </w:rPr>
        <w:t>wooden goods</w:t>
      </w:r>
      <w:r w:rsidRPr="00D73B1A">
        <w:rPr>
          <w:rFonts w:ascii="Times New Roman" w:hAnsi="Times New Roman" w:cs="Times New Roman"/>
          <w:lang w:val="en-US"/>
        </w:rPr>
        <w:t xml:space="preserve"> and </w:t>
      </w:r>
      <w:r w:rsidRPr="00D73B1A">
        <w:rPr>
          <w:rFonts w:ascii="Times New Roman" w:hAnsi="Times New Roman" w:cs="Times New Roman"/>
          <w:i/>
          <w:lang w:val="en-US"/>
        </w:rPr>
        <w:t>brass</w:t>
      </w:r>
      <w:r w:rsidRPr="00D73B1A">
        <w:rPr>
          <w:rFonts w:ascii="Times New Roman" w:hAnsi="Times New Roman" w:cs="Times New Roman"/>
          <w:lang w:val="en-US"/>
        </w:rPr>
        <w:t>.</w:t>
      </w:r>
      <w:r w:rsidRPr="00D73B1A">
        <w:rPr>
          <w:rStyle w:val="FootnoteReference"/>
          <w:rFonts w:ascii="Times New Roman" w:hAnsi="Times New Roman" w:cs="Times New Roman"/>
          <w:lang w:val="en-US"/>
        </w:rPr>
        <w:footnoteReference w:id="1"/>
      </w:r>
      <w:r w:rsidRPr="00D73B1A">
        <w:rPr>
          <w:rFonts w:ascii="Times New Roman" w:hAnsi="Times New Roman" w:cs="Times New Roman"/>
          <w:lang w:val="en-US"/>
        </w:rPr>
        <w:t xml:space="preserve"> For these items we relied on British </w:t>
      </w:r>
      <w:r w:rsidR="00D73B1A">
        <w:rPr>
          <w:rFonts w:ascii="Times New Roman" w:hAnsi="Times New Roman" w:cs="Times New Roman"/>
          <w:lang w:val="en-US"/>
        </w:rPr>
        <w:t xml:space="preserve">export prices instead. Figure </w:t>
      </w:r>
      <w:r w:rsidRPr="00D73B1A">
        <w:rPr>
          <w:rFonts w:ascii="Times New Roman" w:hAnsi="Times New Roman" w:cs="Times New Roman"/>
          <w:lang w:val="en-US"/>
        </w:rPr>
        <w:t>1 compares the new, country-specific import price indices to the original index by Mitchell.</w:t>
      </w:r>
    </w:p>
    <w:p w:rsidR="0053797B" w:rsidRPr="00D73B1A" w:rsidRDefault="0053797B" w:rsidP="00A612C2">
      <w:pPr>
        <w:spacing w:line="360" w:lineRule="auto"/>
        <w:jc w:val="both"/>
        <w:rPr>
          <w:rFonts w:ascii="Times New Roman" w:hAnsi="Times New Roman" w:cs="Times New Roman"/>
          <w:lang w:val="en-US"/>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53797B" w:rsidRPr="00D73B1A" w:rsidTr="00B44CB7">
        <w:tc>
          <w:tcPr>
            <w:tcW w:w="9360" w:type="dxa"/>
            <w:gridSpan w:val="2"/>
          </w:tcPr>
          <w:p w:rsidR="0053797B" w:rsidRPr="00D73B1A" w:rsidRDefault="00D73B1A" w:rsidP="00A612C2">
            <w:pPr>
              <w:keepNext/>
              <w:spacing w:line="240" w:lineRule="auto"/>
              <w:jc w:val="both"/>
              <w:rPr>
                <w:rFonts w:ascii="Times New Roman" w:hAnsi="Times New Roman" w:cs="Times New Roman"/>
                <w:b/>
                <w:sz w:val="20"/>
                <w:lang w:val="en-US"/>
              </w:rPr>
            </w:pPr>
            <w:r>
              <w:rPr>
                <w:rFonts w:ascii="Times New Roman" w:hAnsi="Times New Roman" w:cs="Times New Roman"/>
                <w:b/>
                <w:sz w:val="20"/>
                <w:lang w:val="en-US"/>
              </w:rPr>
              <w:lastRenderedPageBreak/>
              <w:t xml:space="preserve">Figure </w:t>
            </w:r>
            <w:r w:rsidR="0053797B" w:rsidRPr="00D73B1A">
              <w:rPr>
                <w:rFonts w:ascii="Times New Roman" w:hAnsi="Times New Roman" w:cs="Times New Roman"/>
                <w:b/>
                <w:sz w:val="20"/>
                <w:lang w:val="en-US"/>
              </w:rPr>
              <w:t>1: Import price indices compared, 1853-1939</w:t>
            </w:r>
          </w:p>
        </w:tc>
      </w:tr>
      <w:tr w:rsidR="0053797B" w:rsidRPr="00D73B1A" w:rsidTr="00B44CB7">
        <w:tc>
          <w:tcPr>
            <w:tcW w:w="4680" w:type="dxa"/>
          </w:tcPr>
          <w:p w:rsidR="0053797B" w:rsidRPr="00D73B1A" w:rsidRDefault="0053797B" w:rsidP="00A612C2">
            <w:pPr>
              <w:keepNext/>
              <w:spacing w:line="240" w:lineRule="auto"/>
              <w:jc w:val="both"/>
              <w:rPr>
                <w:rFonts w:ascii="Times New Roman" w:hAnsi="Times New Roman" w:cs="Times New Roman"/>
                <w:sz w:val="20"/>
                <w:lang w:val="en-US"/>
              </w:rPr>
            </w:pPr>
            <w:r w:rsidRPr="00D73B1A">
              <w:rPr>
                <w:rFonts w:ascii="Times New Roman" w:hAnsi="Times New Roman" w:cs="Times New Roman"/>
                <w:noProof/>
                <w:sz w:val="20"/>
                <w:lang w:val="en-US"/>
              </w:rPr>
              <w:drawing>
                <wp:inline distT="0" distB="0" distL="0" distR="0" wp14:anchorId="0803B161" wp14:editId="10B89123">
                  <wp:extent cx="2834640" cy="2456687"/>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_WA_Pm.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34640" cy="2456687"/>
                          </a:xfrm>
                          <a:prstGeom prst="rect">
                            <a:avLst/>
                          </a:prstGeom>
                        </pic:spPr>
                      </pic:pic>
                    </a:graphicData>
                  </a:graphic>
                </wp:inline>
              </w:drawing>
            </w:r>
          </w:p>
        </w:tc>
        <w:tc>
          <w:tcPr>
            <w:tcW w:w="4680" w:type="dxa"/>
          </w:tcPr>
          <w:p w:rsidR="0053797B" w:rsidRPr="00D73B1A" w:rsidRDefault="0053797B" w:rsidP="00A612C2">
            <w:pPr>
              <w:keepNext/>
              <w:spacing w:line="240" w:lineRule="auto"/>
              <w:jc w:val="both"/>
              <w:rPr>
                <w:rFonts w:ascii="Times New Roman" w:hAnsi="Times New Roman" w:cs="Times New Roman"/>
                <w:sz w:val="20"/>
                <w:lang w:val="en-US"/>
              </w:rPr>
            </w:pPr>
            <w:r w:rsidRPr="00D73B1A">
              <w:rPr>
                <w:rFonts w:ascii="Times New Roman" w:hAnsi="Times New Roman" w:cs="Times New Roman"/>
                <w:noProof/>
                <w:sz w:val="20"/>
                <w:lang w:val="en-US"/>
              </w:rPr>
              <w:drawing>
                <wp:inline distT="0" distB="0" distL="0" distR="0" wp14:anchorId="13A4965A" wp14:editId="2C28BBBC">
                  <wp:extent cx="2834640" cy="245668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_WA_Pm.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34640" cy="2456687"/>
                          </a:xfrm>
                          <a:prstGeom prst="rect">
                            <a:avLst/>
                          </a:prstGeom>
                        </pic:spPr>
                      </pic:pic>
                    </a:graphicData>
                  </a:graphic>
                </wp:inline>
              </w:drawing>
            </w:r>
          </w:p>
        </w:tc>
      </w:tr>
      <w:tr w:rsidR="0053797B" w:rsidRPr="00D73B1A" w:rsidTr="00B44CB7">
        <w:tc>
          <w:tcPr>
            <w:tcW w:w="9360" w:type="dxa"/>
            <w:gridSpan w:val="2"/>
          </w:tcPr>
          <w:p w:rsidR="0053797B" w:rsidRPr="00D73B1A" w:rsidRDefault="0053797B" w:rsidP="00A612C2">
            <w:pPr>
              <w:keepNext/>
              <w:jc w:val="both"/>
              <w:rPr>
                <w:rFonts w:ascii="Times New Roman" w:hAnsi="Times New Roman" w:cs="Times New Roman"/>
                <w:sz w:val="20"/>
                <w:lang w:val="en-US"/>
              </w:rPr>
            </w:pPr>
          </w:p>
          <w:p w:rsidR="0053797B" w:rsidRPr="00D73B1A" w:rsidRDefault="0053797B" w:rsidP="00A612C2">
            <w:pPr>
              <w:keepNext/>
              <w:jc w:val="both"/>
              <w:rPr>
                <w:rFonts w:ascii="Times New Roman" w:hAnsi="Times New Roman" w:cs="Times New Roman"/>
                <w:sz w:val="20"/>
                <w:lang w:val="en-US"/>
              </w:rPr>
            </w:pPr>
            <w:r w:rsidRPr="00D73B1A">
              <w:rPr>
                <w:rFonts w:ascii="Times New Roman" w:hAnsi="Times New Roman" w:cs="Times New Roman"/>
                <w:i/>
                <w:sz w:val="20"/>
                <w:lang w:val="en-US"/>
              </w:rPr>
              <w:t xml:space="preserve">Notes: </w:t>
            </w:r>
            <w:r w:rsidRPr="00D73B1A">
              <w:rPr>
                <w:rFonts w:ascii="Times New Roman" w:hAnsi="Times New Roman" w:cs="Times New Roman"/>
                <w:sz w:val="20"/>
                <w:lang w:val="en-US"/>
              </w:rPr>
              <w:t>French import price index converted to pounds using quoted exchange rates. Import price indices for United Kingdom and France refer to the price of goods shipped from these respective countries to their trading partners and colonies (so technically export price indices). Maintained reference to ‘import’ to retain consistency with main text which views trade from the perspective of African countries.</w:t>
            </w:r>
          </w:p>
          <w:p w:rsidR="0053797B" w:rsidRPr="00D73B1A" w:rsidRDefault="0053797B" w:rsidP="00A612C2">
            <w:pPr>
              <w:keepNext/>
              <w:jc w:val="both"/>
              <w:rPr>
                <w:rFonts w:ascii="Times New Roman" w:hAnsi="Times New Roman" w:cs="Times New Roman"/>
                <w:sz w:val="20"/>
                <w:lang w:val="en-US"/>
              </w:rPr>
            </w:pPr>
            <w:r w:rsidRPr="00D73B1A">
              <w:rPr>
                <w:rFonts w:ascii="Times New Roman" w:hAnsi="Times New Roman" w:cs="Times New Roman"/>
                <w:i/>
                <w:sz w:val="20"/>
                <w:lang w:val="en-US"/>
              </w:rPr>
              <w:t xml:space="preserve">Sources: </w:t>
            </w:r>
            <w:r w:rsidRPr="00D73B1A">
              <w:rPr>
                <w:rFonts w:ascii="Times New Roman" w:hAnsi="Times New Roman" w:cs="Times New Roman"/>
                <w:sz w:val="20"/>
                <w:lang w:val="en-US"/>
              </w:rPr>
              <w:t xml:space="preserve">[left-hand pane] Mitchell (1988, pp. 526-28); Gold Coast, Gambia and Sierra Leone, value shares see table A.1, African prices </w:t>
            </w:r>
            <w:r w:rsidRPr="00D73B1A">
              <w:rPr>
                <w:rFonts w:ascii="Times New Roman" w:hAnsi="Times New Roman" w:cs="Times New Roman"/>
                <w:i/>
                <w:sz w:val="20"/>
                <w:lang w:val="en-US"/>
              </w:rPr>
              <w:t xml:space="preserve">Blue Books </w:t>
            </w:r>
            <w:r w:rsidRPr="00D73B1A">
              <w:rPr>
                <w:rFonts w:ascii="Times New Roman" w:hAnsi="Times New Roman" w:cs="Times New Roman"/>
                <w:sz w:val="20"/>
                <w:lang w:val="en-US"/>
              </w:rPr>
              <w:t>(various issues)</w:t>
            </w:r>
            <w:r w:rsidRPr="00D73B1A">
              <w:rPr>
                <w:rFonts w:ascii="Times New Roman" w:hAnsi="Times New Roman" w:cs="Times New Roman"/>
                <w:i/>
                <w:sz w:val="20"/>
                <w:lang w:val="en-US"/>
              </w:rPr>
              <w:t xml:space="preserve"> </w:t>
            </w:r>
            <w:r w:rsidRPr="00D73B1A">
              <w:rPr>
                <w:rFonts w:ascii="Times New Roman" w:hAnsi="Times New Roman" w:cs="Times New Roman"/>
                <w:sz w:val="20"/>
                <w:lang w:val="en-US"/>
              </w:rPr>
              <w:t xml:space="preserve">and </w:t>
            </w:r>
            <w:r w:rsidRPr="00D73B1A">
              <w:rPr>
                <w:rFonts w:ascii="Times New Roman" w:hAnsi="Times New Roman" w:cs="Times New Roman"/>
                <w:i/>
                <w:sz w:val="20"/>
                <w:lang w:val="en-US"/>
              </w:rPr>
              <w:t xml:space="preserve">Statistical Abstract for the Several Colonial and Other Possessions </w:t>
            </w:r>
            <w:r w:rsidRPr="00D73B1A">
              <w:rPr>
                <w:rFonts w:ascii="Times New Roman" w:hAnsi="Times New Roman" w:cs="Times New Roman"/>
                <w:sz w:val="20"/>
                <w:lang w:val="en-US"/>
              </w:rPr>
              <w:t xml:space="preserve">(1865, 1874, 1885, 1891, 1895, 1906), British prices </w:t>
            </w:r>
            <w:r w:rsidRPr="00D73B1A">
              <w:rPr>
                <w:rFonts w:ascii="Times New Roman" w:eastAsia="Times New Roman" w:hAnsi="Times New Roman" w:cs="Times New Roman"/>
                <w:i/>
                <w:color w:val="000000"/>
                <w:sz w:val="20"/>
                <w:lang w:val="en-US"/>
              </w:rPr>
              <w:t xml:space="preserve">Statistical Abstract for the United Kingdom in each of the last fifteen years </w:t>
            </w:r>
            <w:r w:rsidRPr="00D73B1A">
              <w:rPr>
                <w:rFonts w:ascii="Times New Roman" w:eastAsia="Times New Roman" w:hAnsi="Times New Roman" w:cs="Times New Roman"/>
                <w:iCs/>
                <w:color w:val="000000"/>
                <w:sz w:val="20"/>
                <w:lang w:val="en-US"/>
              </w:rPr>
              <w:t xml:space="preserve">(1868, 1874, 1887, 1898, 1903). [right-hand pane] United Kingdom from </w:t>
            </w:r>
            <w:r w:rsidRPr="00D73B1A">
              <w:rPr>
                <w:rFonts w:ascii="Times New Roman" w:hAnsi="Times New Roman" w:cs="Times New Roman"/>
                <w:sz w:val="20"/>
                <w:lang w:val="en-US"/>
              </w:rPr>
              <w:t>Mitchell (1988, pp. 526-28); France from Mitchell (2007). Exchange rates from Mitchell (1988, pp. 700-03).</w:t>
            </w:r>
          </w:p>
        </w:tc>
      </w:tr>
    </w:tbl>
    <w:p w:rsidR="0053797B" w:rsidRPr="00D73B1A" w:rsidRDefault="0053797B" w:rsidP="00A612C2">
      <w:pPr>
        <w:spacing w:line="360" w:lineRule="auto"/>
        <w:jc w:val="both"/>
        <w:rPr>
          <w:rFonts w:ascii="Times New Roman" w:hAnsi="Times New Roman" w:cs="Times New Roman"/>
          <w:sz w:val="20"/>
          <w:lang w:val="en-US"/>
        </w:rPr>
      </w:pPr>
    </w:p>
    <w:p w:rsidR="0053797B" w:rsidRPr="00D73B1A" w:rsidRDefault="00D73B1A" w:rsidP="00A612C2">
      <w:pPr>
        <w:spacing w:line="360" w:lineRule="auto"/>
        <w:jc w:val="both"/>
        <w:rPr>
          <w:rFonts w:ascii="Times New Roman" w:hAnsi="Times New Roman" w:cs="Times New Roman"/>
          <w:szCs w:val="24"/>
          <w:lang w:val="en-US"/>
        </w:rPr>
      </w:pPr>
      <w:r>
        <w:rPr>
          <w:rFonts w:ascii="Times New Roman" w:hAnsi="Times New Roman" w:cs="Times New Roman"/>
          <w:szCs w:val="24"/>
          <w:lang w:val="en-US"/>
        </w:rPr>
        <w:t xml:space="preserve">The left-hand pane of figure </w:t>
      </w:r>
      <w:r w:rsidR="0053797B" w:rsidRPr="00D73B1A">
        <w:rPr>
          <w:rFonts w:ascii="Times New Roman" w:hAnsi="Times New Roman" w:cs="Times New Roman"/>
          <w:szCs w:val="24"/>
          <w:lang w:val="en-US"/>
        </w:rPr>
        <w:t xml:space="preserve">1 clearly shows that the original index by Mitchell is a good proxy for the price development of imported goods into British West Africa. Between 1853 and the peak of the terms-of-trade boom (1884), the country-specific indices show a slightly greater decline in import prices: -0.87 and -0.82 versus Mitchell’s -0.68 percent per annum. The use of these import prices would thus </w:t>
      </w:r>
      <w:r w:rsidR="0053797B" w:rsidRPr="00D73B1A">
        <w:rPr>
          <w:rFonts w:ascii="Times New Roman" w:hAnsi="Times New Roman" w:cs="Times New Roman"/>
          <w:i/>
          <w:szCs w:val="24"/>
          <w:lang w:val="en-US"/>
        </w:rPr>
        <w:t>increase</w:t>
      </w:r>
      <w:r w:rsidR="0053797B" w:rsidRPr="00D73B1A">
        <w:rPr>
          <w:rFonts w:ascii="Times New Roman" w:hAnsi="Times New Roman" w:cs="Times New Roman"/>
          <w:szCs w:val="24"/>
          <w:lang w:val="en-US"/>
        </w:rPr>
        <w:t xml:space="preserve"> the rate of growth of the terms of trade by between 0.14 and 0.19 percentage points per annum for this period. The more pronounced peak in import prices during the early 1860s in the result of rising prices for cotton during the American Civil War which weigh heavily in the West-A</w:t>
      </w:r>
      <w:r>
        <w:rPr>
          <w:rFonts w:ascii="Times New Roman" w:hAnsi="Times New Roman" w:cs="Times New Roman"/>
          <w:szCs w:val="24"/>
          <w:lang w:val="en-US"/>
        </w:rPr>
        <w:t>frican import mix (see table 2</w:t>
      </w:r>
      <w:r w:rsidR="0053797B" w:rsidRPr="00D73B1A">
        <w:rPr>
          <w:rFonts w:ascii="Times New Roman" w:hAnsi="Times New Roman" w:cs="Times New Roman"/>
          <w:szCs w:val="24"/>
          <w:lang w:val="en-US"/>
        </w:rPr>
        <w:t>).</w:t>
      </w:r>
    </w:p>
    <w:p w:rsidR="0053797B" w:rsidRPr="00D73B1A" w:rsidRDefault="0053797B" w:rsidP="00A612C2">
      <w:pPr>
        <w:spacing w:line="360" w:lineRule="auto"/>
        <w:jc w:val="both"/>
        <w:rPr>
          <w:rFonts w:ascii="Times New Roman" w:hAnsi="Times New Roman" w:cs="Times New Roman"/>
          <w:bCs/>
          <w:sz w:val="20"/>
          <w:szCs w:val="24"/>
          <w:lang w:val="en-US"/>
        </w:rPr>
      </w:pPr>
      <w:r w:rsidRPr="00D73B1A">
        <w:rPr>
          <w:rFonts w:ascii="Times New Roman" w:hAnsi="Times New Roman" w:cs="Times New Roman"/>
          <w:szCs w:val="24"/>
          <w:lang w:val="en-US"/>
        </w:rPr>
        <w:tab/>
      </w:r>
      <w:r w:rsidR="00D73B1A">
        <w:rPr>
          <w:rFonts w:ascii="Times New Roman" w:hAnsi="Times New Roman" w:cs="Times New Roman"/>
          <w:szCs w:val="24"/>
          <w:lang w:val="en-US"/>
        </w:rPr>
        <w:t xml:space="preserve">The right-hand pane of figure </w:t>
      </w:r>
      <w:r w:rsidRPr="00D73B1A">
        <w:rPr>
          <w:rFonts w:ascii="Times New Roman" w:hAnsi="Times New Roman" w:cs="Times New Roman"/>
          <w:szCs w:val="24"/>
          <w:lang w:val="en-US"/>
        </w:rPr>
        <w:t xml:space="preserve">1 compares the price index of British commodities to an index of French commodities being traded with the rest of the world. To make both series comparable we converted the </w:t>
      </w:r>
      <w:r w:rsidRPr="00D73B1A">
        <w:rPr>
          <w:rFonts w:ascii="Times New Roman" w:hAnsi="Times New Roman" w:cs="Times New Roman"/>
          <w:lang w:val="en-US"/>
        </w:rPr>
        <w:t>French prices into British pounds using quoted exchange rates</w:t>
      </w:r>
      <w:r w:rsidR="00D73B1A">
        <w:rPr>
          <w:rFonts w:ascii="Times New Roman" w:hAnsi="Times New Roman" w:cs="Times New Roman"/>
          <w:lang w:val="en-US"/>
        </w:rPr>
        <w:t xml:space="preserve"> </w:t>
      </w:r>
      <w:r w:rsidR="00D73B1A" w:rsidRPr="00D73B1A">
        <w:rPr>
          <w:rFonts w:ascii="Times New Roman" w:hAnsi="Times New Roman" w:cs="Times New Roman"/>
          <w:lang w:val="en-US"/>
        </w:rPr>
        <w:t>(Mitchell 1988, pp. 700-03). Again, the original, British index by Mitchell appears to be a good proxy for the price development of imported goods into Africa.</w:t>
      </w:r>
    </w:p>
    <w:p w:rsidR="00F63CF0" w:rsidRPr="00F63CF0" w:rsidRDefault="00F63CF0" w:rsidP="00A612C2">
      <w:pPr>
        <w:spacing w:line="360" w:lineRule="auto"/>
        <w:jc w:val="both"/>
        <w:rPr>
          <w:rFonts w:ascii="Times New Roman" w:hAnsi="Times New Roman" w:cs="Times New Roman"/>
          <w:b/>
          <w:lang w:val="en-US"/>
        </w:rPr>
      </w:pPr>
    </w:p>
    <w:p w:rsidR="00596B8D" w:rsidRDefault="00596B8D" w:rsidP="00A612C2">
      <w:pPr>
        <w:spacing w:after="160" w:line="259" w:lineRule="auto"/>
        <w:jc w:val="both"/>
        <w:rPr>
          <w:rFonts w:ascii="Times New Roman" w:hAnsi="Times New Roman" w:cs="Times New Roman"/>
          <w:b/>
          <w:lang w:val="en-US"/>
        </w:rPr>
      </w:pPr>
      <w:r>
        <w:rPr>
          <w:rFonts w:ascii="Times New Roman" w:hAnsi="Times New Roman" w:cs="Times New Roman"/>
          <w:b/>
          <w:lang w:val="en-US"/>
        </w:rPr>
        <w:br w:type="page"/>
      </w:r>
    </w:p>
    <w:p w:rsidR="00A53610" w:rsidRPr="00F63CF0" w:rsidRDefault="00D73B1A" w:rsidP="00A612C2">
      <w:pPr>
        <w:spacing w:line="360" w:lineRule="auto"/>
        <w:jc w:val="both"/>
        <w:rPr>
          <w:rFonts w:ascii="Times New Roman" w:hAnsi="Times New Roman" w:cs="Times New Roman"/>
          <w:b/>
          <w:lang w:val="en-US"/>
        </w:rPr>
      </w:pPr>
      <w:r>
        <w:rPr>
          <w:rFonts w:ascii="Times New Roman" w:hAnsi="Times New Roman" w:cs="Times New Roman"/>
          <w:b/>
          <w:lang w:val="en-US"/>
        </w:rPr>
        <w:lastRenderedPageBreak/>
        <w:t xml:space="preserve">FRENCH </w:t>
      </w:r>
      <w:r w:rsidR="00F63CF0" w:rsidRPr="00F63CF0">
        <w:rPr>
          <w:rFonts w:ascii="Times New Roman" w:hAnsi="Times New Roman" w:cs="Times New Roman"/>
          <w:b/>
          <w:lang w:val="en-US"/>
        </w:rPr>
        <w:t>NOMENCLATURE</w:t>
      </w:r>
    </w:p>
    <w:p w:rsidR="00D73B1A" w:rsidRPr="00D73B1A" w:rsidRDefault="00D73B1A" w:rsidP="00A612C2">
      <w:pPr>
        <w:spacing w:line="360" w:lineRule="auto"/>
        <w:jc w:val="both"/>
        <w:rPr>
          <w:rFonts w:ascii="Times New Roman" w:hAnsi="Times New Roman" w:cs="Times New Roman"/>
          <w:lang w:val="en-US"/>
        </w:rPr>
      </w:pPr>
      <w:r>
        <w:rPr>
          <w:rFonts w:ascii="Times New Roman" w:hAnsi="Times New Roman" w:cs="Times New Roman"/>
          <w:lang w:val="en-US"/>
        </w:rPr>
        <w:t>In the ACTD we adopted t</w:t>
      </w:r>
      <w:r w:rsidRPr="00D73B1A">
        <w:rPr>
          <w:rFonts w:ascii="Times New Roman" w:hAnsi="Times New Roman" w:cs="Times New Roman"/>
          <w:lang w:val="en-US"/>
        </w:rPr>
        <w:t>he French conventions for naming regions</w:t>
      </w:r>
      <w:r>
        <w:rPr>
          <w:rFonts w:ascii="Times New Roman" w:hAnsi="Times New Roman" w:cs="Times New Roman"/>
          <w:lang w:val="en-US"/>
        </w:rPr>
        <w:t xml:space="preserve">, which can at times be </w:t>
      </w:r>
      <w:r w:rsidRPr="00D73B1A">
        <w:rPr>
          <w:rFonts w:ascii="Times New Roman" w:hAnsi="Times New Roman" w:cs="Times New Roman"/>
          <w:lang w:val="en-US"/>
        </w:rPr>
        <w:t xml:space="preserve">rather confusing. </w:t>
      </w:r>
      <w:r w:rsidR="00670E55">
        <w:rPr>
          <w:rFonts w:ascii="Times New Roman" w:hAnsi="Times New Roman" w:cs="Times New Roman"/>
          <w:lang w:val="en-US"/>
        </w:rPr>
        <w:t>A summary</w:t>
      </w:r>
      <w:bookmarkStart w:id="6" w:name="_GoBack"/>
      <w:bookmarkEnd w:id="6"/>
      <w:r>
        <w:rPr>
          <w:rFonts w:ascii="Times New Roman" w:hAnsi="Times New Roman" w:cs="Times New Roman"/>
          <w:lang w:val="en-US"/>
        </w:rPr>
        <w:t xml:space="preserve"> is provided below.</w:t>
      </w:r>
    </w:p>
    <w:p w:rsidR="00D73B1A" w:rsidRPr="00D73B1A" w:rsidRDefault="00D73B1A" w:rsidP="00A612C2">
      <w:pPr>
        <w:spacing w:line="360" w:lineRule="auto"/>
        <w:jc w:val="both"/>
        <w:rPr>
          <w:rFonts w:ascii="Times New Roman" w:hAnsi="Times New Roman" w:cs="Times New Roman"/>
          <w:lang w:val="en-US"/>
        </w:rPr>
      </w:pPr>
    </w:p>
    <w:p w:rsidR="00D73B1A" w:rsidRPr="00D73B1A" w:rsidRDefault="00D73B1A" w:rsidP="00A612C2">
      <w:pPr>
        <w:spacing w:line="360" w:lineRule="auto"/>
        <w:jc w:val="both"/>
        <w:rPr>
          <w:rFonts w:ascii="Times New Roman" w:hAnsi="Times New Roman" w:cs="Times New Roman"/>
          <w:i/>
          <w:lang w:val="en-US"/>
        </w:rPr>
      </w:pPr>
      <w:r w:rsidRPr="00D73B1A">
        <w:rPr>
          <w:rFonts w:ascii="Times New Roman" w:hAnsi="Times New Roman" w:cs="Times New Roman"/>
          <w:i/>
          <w:lang w:val="en-US"/>
        </w:rPr>
        <w:t xml:space="preserve">Cote Occidental </w:t>
      </w:r>
      <w:proofErr w:type="spellStart"/>
      <w:r w:rsidRPr="00D73B1A">
        <w:rPr>
          <w:rFonts w:ascii="Times New Roman" w:hAnsi="Times New Roman" w:cs="Times New Roman"/>
          <w:i/>
          <w:lang w:val="en-US"/>
        </w:rPr>
        <w:t>d’Afrique</w:t>
      </w:r>
      <w:proofErr w:type="spellEnd"/>
    </w:p>
    <w:p w:rsidR="00D73B1A" w:rsidRPr="00D73B1A" w:rsidRDefault="00D73B1A" w:rsidP="00A612C2">
      <w:pPr>
        <w:spacing w:line="360" w:lineRule="auto"/>
        <w:jc w:val="both"/>
        <w:rPr>
          <w:rFonts w:ascii="Times New Roman" w:hAnsi="Times New Roman" w:cs="Times New Roman"/>
          <w:lang w:val="en-US"/>
        </w:rPr>
      </w:pPr>
      <w:r>
        <w:rPr>
          <w:rFonts w:ascii="Times New Roman" w:hAnsi="Times New Roman" w:cs="Times New Roman"/>
          <w:lang w:val="en-US"/>
        </w:rPr>
        <w:t>This represents a</w:t>
      </w:r>
      <w:r w:rsidRPr="00D73B1A">
        <w:rPr>
          <w:rFonts w:ascii="Times New Roman" w:hAnsi="Times New Roman" w:cs="Times New Roman"/>
          <w:lang w:val="en-US"/>
        </w:rPr>
        <w:t xml:space="preserve"> residual category, covering the French colonies/possessions on the West coast excluding Senegal, French North Africa, Togo and </w:t>
      </w:r>
      <w:proofErr w:type="spellStart"/>
      <w:r w:rsidRPr="00D73B1A">
        <w:rPr>
          <w:rFonts w:ascii="Times New Roman" w:hAnsi="Times New Roman" w:cs="Times New Roman"/>
          <w:lang w:val="en-US"/>
        </w:rPr>
        <w:t>Dahomey</w:t>
      </w:r>
      <w:proofErr w:type="spellEnd"/>
      <w:r w:rsidRPr="00D73B1A">
        <w:rPr>
          <w:rFonts w:ascii="Times New Roman" w:hAnsi="Times New Roman" w:cs="Times New Roman"/>
          <w:lang w:val="en-US"/>
        </w:rPr>
        <w:t xml:space="preserve"> which are listed separately in the trade records.</w:t>
      </w:r>
      <w:r>
        <w:rPr>
          <w:rFonts w:ascii="Times New Roman" w:hAnsi="Times New Roman" w:cs="Times New Roman"/>
          <w:lang w:val="en-US"/>
        </w:rPr>
        <w:t xml:space="preserve"> </w:t>
      </w:r>
      <w:r w:rsidRPr="00D73B1A">
        <w:rPr>
          <w:rFonts w:ascii="Times New Roman" w:hAnsi="Times New Roman" w:cs="Times New Roman"/>
          <w:lang w:val="en-US"/>
        </w:rPr>
        <w:t xml:space="preserve">The French statistical abstract explicitly cites the following countries: </w:t>
      </w:r>
      <w:proofErr w:type="spellStart"/>
      <w:r w:rsidRPr="00D73B1A">
        <w:rPr>
          <w:rFonts w:ascii="Times New Roman" w:hAnsi="Times New Roman" w:cs="Times New Roman"/>
          <w:lang w:val="en-US"/>
        </w:rPr>
        <w:t>République</w:t>
      </w:r>
      <w:proofErr w:type="spellEnd"/>
      <w:r w:rsidRPr="00D73B1A">
        <w:rPr>
          <w:rFonts w:ascii="Times New Roman" w:hAnsi="Times New Roman" w:cs="Times New Roman"/>
          <w:lang w:val="en-US"/>
        </w:rPr>
        <w:t xml:space="preserve"> du Congo, Soudan </w:t>
      </w:r>
      <w:proofErr w:type="spellStart"/>
      <w:r w:rsidRPr="00D73B1A">
        <w:rPr>
          <w:rFonts w:ascii="Times New Roman" w:hAnsi="Times New Roman" w:cs="Times New Roman"/>
          <w:lang w:val="en-US"/>
        </w:rPr>
        <w:t>française</w:t>
      </w:r>
      <w:proofErr w:type="spellEnd"/>
      <w:r w:rsidRPr="00D73B1A">
        <w:rPr>
          <w:rFonts w:ascii="Times New Roman" w:hAnsi="Times New Roman" w:cs="Times New Roman"/>
          <w:lang w:val="en-US"/>
        </w:rPr>
        <w:t xml:space="preserve"> (Mali), </w:t>
      </w:r>
      <w:proofErr w:type="spellStart"/>
      <w:r w:rsidRPr="00D73B1A">
        <w:rPr>
          <w:rFonts w:ascii="Times New Roman" w:hAnsi="Times New Roman" w:cs="Times New Roman"/>
          <w:lang w:val="en-US"/>
        </w:rPr>
        <w:t>Guinée</w:t>
      </w:r>
      <w:proofErr w:type="spellEnd"/>
      <w:r w:rsidRPr="00D73B1A">
        <w:rPr>
          <w:rFonts w:ascii="Times New Roman" w:hAnsi="Times New Roman" w:cs="Times New Roman"/>
          <w:lang w:val="en-US"/>
        </w:rPr>
        <w:t xml:space="preserve"> </w:t>
      </w:r>
      <w:proofErr w:type="spellStart"/>
      <w:r w:rsidRPr="00D73B1A">
        <w:rPr>
          <w:rFonts w:ascii="Times New Roman" w:hAnsi="Times New Roman" w:cs="Times New Roman"/>
          <w:lang w:val="en-US"/>
        </w:rPr>
        <w:t>française</w:t>
      </w:r>
      <w:proofErr w:type="spellEnd"/>
      <w:r w:rsidRPr="00D73B1A">
        <w:rPr>
          <w:rFonts w:ascii="Times New Roman" w:hAnsi="Times New Roman" w:cs="Times New Roman"/>
          <w:lang w:val="en-US"/>
        </w:rPr>
        <w:t xml:space="preserve"> and Côte d'Ivoire. This </w:t>
      </w:r>
      <w:proofErr w:type="gramStart"/>
      <w:r w:rsidRPr="00D73B1A">
        <w:rPr>
          <w:rFonts w:ascii="Times New Roman" w:hAnsi="Times New Roman" w:cs="Times New Roman"/>
          <w:lang w:val="en-US"/>
        </w:rPr>
        <w:t>in all likelihood</w:t>
      </w:r>
      <w:proofErr w:type="gramEnd"/>
      <w:r w:rsidRPr="00D73B1A">
        <w:rPr>
          <w:rFonts w:ascii="Times New Roman" w:hAnsi="Times New Roman" w:cs="Times New Roman"/>
          <w:lang w:val="en-US"/>
        </w:rPr>
        <w:t xml:space="preserve"> also includes Burkina Faso and Niger, and prior to 1910 French Gabon and Chad. </w:t>
      </w:r>
      <w:r>
        <w:rPr>
          <w:rFonts w:ascii="Times New Roman" w:hAnsi="Times New Roman" w:cs="Times New Roman"/>
          <w:lang w:val="en-US"/>
        </w:rPr>
        <w:t>N</w:t>
      </w:r>
      <w:r w:rsidRPr="00D73B1A">
        <w:rPr>
          <w:rFonts w:ascii="Times New Roman" w:hAnsi="Times New Roman" w:cs="Times New Roman"/>
          <w:lang w:val="en-US"/>
        </w:rPr>
        <w:t xml:space="preserve">ote that after 1910 French Equatorial Africa is separated in the trade records, covering French Gabon, French Congo, </w:t>
      </w:r>
      <w:proofErr w:type="spellStart"/>
      <w:r w:rsidRPr="00D73B1A">
        <w:rPr>
          <w:rFonts w:ascii="Times New Roman" w:hAnsi="Times New Roman" w:cs="Times New Roman"/>
          <w:lang w:val="en-US"/>
        </w:rPr>
        <w:t>Oubangui</w:t>
      </w:r>
      <w:proofErr w:type="spellEnd"/>
      <w:r w:rsidRPr="00D73B1A">
        <w:rPr>
          <w:rFonts w:ascii="Times New Roman" w:hAnsi="Times New Roman" w:cs="Times New Roman"/>
          <w:lang w:val="en-US"/>
        </w:rPr>
        <w:t>-Chari, French Chad and French Cameroon (after WWI). This group is not included in the ACTD and thus presents a (minor) break in the series.</w:t>
      </w:r>
      <w:r>
        <w:rPr>
          <w:rFonts w:ascii="Times New Roman" w:hAnsi="Times New Roman" w:cs="Times New Roman"/>
          <w:lang w:val="en-US"/>
        </w:rPr>
        <w:t xml:space="preserve"> Also n</w:t>
      </w:r>
      <w:r w:rsidRPr="00D73B1A">
        <w:rPr>
          <w:rFonts w:ascii="Times New Roman" w:hAnsi="Times New Roman" w:cs="Times New Roman"/>
          <w:lang w:val="en-US"/>
        </w:rPr>
        <w:t xml:space="preserve">ote that prior to 1890 and after 1925 this category also includes Togo and </w:t>
      </w:r>
      <w:proofErr w:type="spellStart"/>
      <w:r w:rsidRPr="00D73B1A">
        <w:rPr>
          <w:rFonts w:ascii="Times New Roman" w:hAnsi="Times New Roman" w:cs="Times New Roman"/>
          <w:lang w:val="en-US"/>
        </w:rPr>
        <w:t>Dahomey</w:t>
      </w:r>
      <w:proofErr w:type="spellEnd"/>
      <w:r w:rsidRPr="00D73B1A">
        <w:rPr>
          <w:rFonts w:ascii="Times New Roman" w:hAnsi="Times New Roman" w:cs="Times New Roman"/>
          <w:lang w:val="en-US"/>
        </w:rPr>
        <w:t xml:space="preserve">. </w:t>
      </w:r>
    </w:p>
    <w:p w:rsidR="00D73B1A" w:rsidRDefault="00D73B1A" w:rsidP="00A612C2">
      <w:pPr>
        <w:spacing w:line="360" w:lineRule="auto"/>
        <w:jc w:val="both"/>
        <w:rPr>
          <w:rFonts w:ascii="Times New Roman" w:hAnsi="Times New Roman" w:cs="Times New Roman"/>
          <w:lang w:val="en-US"/>
        </w:rPr>
      </w:pPr>
    </w:p>
    <w:p w:rsidR="00D73B1A" w:rsidRPr="00D73B1A" w:rsidRDefault="00D73B1A" w:rsidP="00A612C2">
      <w:pPr>
        <w:spacing w:line="360" w:lineRule="auto"/>
        <w:jc w:val="both"/>
        <w:rPr>
          <w:rFonts w:ascii="Times New Roman" w:hAnsi="Times New Roman" w:cs="Times New Roman"/>
          <w:i/>
          <w:lang w:val="en-US"/>
        </w:rPr>
      </w:pPr>
      <w:proofErr w:type="spellStart"/>
      <w:r w:rsidRPr="00D73B1A">
        <w:rPr>
          <w:rFonts w:ascii="Times New Roman" w:hAnsi="Times New Roman" w:cs="Times New Roman"/>
          <w:i/>
          <w:lang w:val="en-US"/>
        </w:rPr>
        <w:t>Etablissement</w:t>
      </w:r>
      <w:r>
        <w:rPr>
          <w:rFonts w:ascii="Times New Roman" w:hAnsi="Times New Roman" w:cs="Times New Roman"/>
          <w:i/>
          <w:lang w:val="en-US"/>
        </w:rPr>
        <w:t>s</w:t>
      </w:r>
      <w:proofErr w:type="spellEnd"/>
      <w:r>
        <w:rPr>
          <w:rFonts w:ascii="Times New Roman" w:hAnsi="Times New Roman" w:cs="Times New Roman"/>
          <w:i/>
          <w:lang w:val="en-US"/>
        </w:rPr>
        <w:t xml:space="preserve"> </w:t>
      </w:r>
      <w:proofErr w:type="spellStart"/>
      <w:r>
        <w:rPr>
          <w:rFonts w:ascii="Times New Roman" w:hAnsi="Times New Roman" w:cs="Times New Roman"/>
          <w:i/>
          <w:lang w:val="en-US"/>
        </w:rPr>
        <w:t>Francaises</w:t>
      </w:r>
      <w:proofErr w:type="spellEnd"/>
      <w:r>
        <w:rPr>
          <w:rFonts w:ascii="Times New Roman" w:hAnsi="Times New Roman" w:cs="Times New Roman"/>
          <w:i/>
          <w:lang w:val="en-US"/>
        </w:rPr>
        <w:t xml:space="preserve"> du </w:t>
      </w:r>
      <w:proofErr w:type="spellStart"/>
      <w:r>
        <w:rPr>
          <w:rFonts w:ascii="Times New Roman" w:hAnsi="Times New Roman" w:cs="Times New Roman"/>
          <w:i/>
          <w:lang w:val="en-US"/>
        </w:rPr>
        <w:t>Golfe</w:t>
      </w:r>
      <w:proofErr w:type="spellEnd"/>
      <w:r>
        <w:rPr>
          <w:rFonts w:ascii="Times New Roman" w:hAnsi="Times New Roman" w:cs="Times New Roman"/>
          <w:i/>
          <w:lang w:val="en-US"/>
        </w:rPr>
        <w:t xml:space="preserve"> de Guinee</w:t>
      </w:r>
    </w:p>
    <w:p w:rsidR="00D73B1A" w:rsidRDefault="00D73B1A" w:rsidP="00A612C2">
      <w:pPr>
        <w:spacing w:line="360" w:lineRule="auto"/>
        <w:jc w:val="both"/>
        <w:rPr>
          <w:rFonts w:ascii="Times New Roman" w:hAnsi="Times New Roman" w:cs="Times New Roman"/>
          <w:lang w:val="en-US"/>
        </w:rPr>
      </w:pPr>
      <w:r>
        <w:rPr>
          <w:rFonts w:ascii="Times New Roman" w:hAnsi="Times New Roman" w:cs="Times New Roman"/>
          <w:lang w:val="en-US"/>
        </w:rPr>
        <w:t>This category is o</w:t>
      </w:r>
      <w:r w:rsidRPr="00D73B1A">
        <w:rPr>
          <w:rFonts w:ascii="Times New Roman" w:hAnsi="Times New Roman" w:cs="Times New Roman"/>
          <w:lang w:val="en-US"/>
        </w:rPr>
        <w:t>nly available from 1890 to 1925</w:t>
      </w:r>
      <w:r>
        <w:rPr>
          <w:rFonts w:ascii="Times New Roman" w:hAnsi="Times New Roman" w:cs="Times New Roman"/>
          <w:lang w:val="en-US"/>
        </w:rPr>
        <w:t xml:space="preserve"> in the French trade statistics and c</w:t>
      </w:r>
      <w:r w:rsidRPr="00D73B1A">
        <w:rPr>
          <w:rFonts w:ascii="Times New Roman" w:hAnsi="Times New Roman" w:cs="Times New Roman"/>
          <w:lang w:val="en-US"/>
        </w:rPr>
        <w:t xml:space="preserve">overs Togo and </w:t>
      </w:r>
      <w:proofErr w:type="spellStart"/>
      <w:r w:rsidRPr="00D73B1A">
        <w:rPr>
          <w:rFonts w:ascii="Times New Roman" w:hAnsi="Times New Roman" w:cs="Times New Roman"/>
          <w:lang w:val="en-US"/>
        </w:rPr>
        <w:t>Dahomey</w:t>
      </w:r>
      <w:proofErr w:type="spellEnd"/>
      <w:r w:rsidRPr="00D73B1A">
        <w:rPr>
          <w:rFonts w:ascii="Times New Roman" w:hAnsi="Times New Roman" w:cs="Times New Roman"/>
          <w:lang w:val="en-US"/>
        </w:rPr>
        <w:t>.</w:t>
      </w:r>
    </w:p>
    <w:p w:rsidR="00D73B1A" w:rsidRDefault="00D73B1A" w:rsidP="00A612C2">
      <w:pPr>
        <w:spacing w:line="360" w:lineRule="auto"/>
        <w:jc w:val="both"/>
        <w:rPr>
          <w:rFonts w:ascii="Times New Roman" w:hAnsi="Times New Roman" w:cs="Times New Roman"/>
          <w:lang w:val="en-US"/>
        </w:rPr>
      </w:pPr>
    </w:p>
    <w:p w:rsidR="00D73B1A" w:rsidRPr="00D73B1A" w:rsidRDefault="00D73B1A" w:rsidP="00A612C2">
      <w:pPr>
        <w:spacing w:line="360" w:lineRule="auto"/>
        <w:jc w:val="both"/>
        <w:rPr>
          <w:rFonts w:ascii="Times New Roman" w:hAnsi="Times New Roman" w:cs="Times New Roman"/>
          <w:i/>
          <w:lang w:val="en-US"/>
        </w:rPr>
      </w:pPr>
      <w:r w:rsidRPr="00D73B1A">
        <w:rPr>
          <w:rFonts w:ascii="Times New Roman" w:hAnsi="Times New Roman" w:cs="Times New Roman"/>
          <w:i/>
          <w:lang w:val="en-US"/>
        </w:rPr>
        <w:t xml:space="preserve">Possessions </w:t>
      </w:r>
      <w:proofErr w:type="spellStart"/>
      <w:r w:rsidRPr="00D73B1A">
        <w:rPr>
          <w:rFonts w:ascii="Times New Roman" w:hAnsi="Times New Roman" w:cs="Times New Roman"/>
          <w:i/>
          <w:lang w:val="en-US"/>
        </w:rPr>
        <w:t>Anglaises</w:t>
      </w:r>
      <w:proofErr w:type="spellEnd"/>
      <w:r w:rsidRPr="00D73B1A">
        <w:rPr>
          <w:rFonts w:ascii="Times New Roman" w:hAnsi="Times New Roman" w:cs="Times New Roman"/>
          <w:i/>
          <w:lang w:val="en-US"/>
        </w:rPr>
        <w:t xml:space="preserve"> en </w:t>
      </w:r>
      <w:proofErr w:type="spellStart"/>
      <w:r w:rsidRPr="00D73B1A">
        <w:rPr>
          <w:rFonts w:ascii="Times New Roman" w:hAnsi="Times New Roman" w:cs="Times New Roman"/>
          <w:i/>
          <w:lang w:val="en-US"/>
        </w:rPr>
        <w:t>Afrique</w:t>
      </w:r>
      <w:proofErr w:type="spellEnd"/>
    </w:p>
    <w:p w:rsidR="00D73B1A" w:rsidRDefault="00D73B1A" w:rsidP="00A612C2">
      <w:pPr>
        <w:spacing w:line="360" w:lineRule="auto"/>
        <w:jc w:val="both"/>
        <w:rPr>
          <w:rFonts w:ascii="Times New Roman" w:hAnsi="Times New Roman" w:cs="Times New Roman"/>
          <w:lang w:val="en-US"/>
        </w:rPr>
      </w:pPr>
      <w:r w:rsidRPr="00D73B1A">
        <w:rPr>
          <w:rFonts w:ascii="Times New Roman" w:hAnsi="Times New Roman" w:cs="Times New Roman"/>
          <w:lang w:val="en-US"/>
        </w:rPr>
        <w:t>This group covers all British possessions on the West and East African Coast. It also includes South Africa, which dominates this category.</w:t>
      </w:r>
      <w:r>
        <w:rPr>
          <w:rFonts w:ascii="Times New Roman" w:hAnsi="Times New Roman" w:cs="Times New Roman"/>
          <w:lang w:val="en-US"/>
        </w:rPr>
        <w:t xml:space="preserve"> </w:t>
      </w:r>
    </w:p>
    <w:p w:rsidR="00D73B1A" w:rsidRDefault="00D73B1A" w:rsidP="00A612C2">
      <w:pPr>
        <w:spacing w:line="360" w:lineRule="auto"/>
        <w:jc w:val="both"/>
        <w:rPr>
          <w:rFonts w:ascii="Times New Roman" w:hAnsi="Times New Roman" w:cs="Times New Roman"/>
          <w:lang w:val="en-US"/>
        </w:rPr>
      </w:pPr>
    </w:p>
    <w:p w:rsidR="00D73B1A" w:rsidRPr="00D73B1A" w:rsidRDefault="00D73B1A" w:rsidP="00A612C2">
      <w:pPr>
        <w:spacing w:line="360" w:lineRule="auto"/>
        <w:jc w:val="both"/>
        <w:rPr>
          <w:rFonts w:ascii="Times New Roman" w:hAnsi="Times New Roman" w:cs="Times New Roman"/>
          <w:i/>
          <w:lang w:val="en-US"/>
        </w:rPr>
      </w:pPr>
      <w:proofErr w:type="spellStart"/>
      <w:r w:rsidRPr="00D73B1A">
        <w:rPr>
          <w:rFonts w:ascii="Times New Roman" w:hAnsi="Times New Roman" w:cs="Times New Roman"/>
          <w:i/>
          <w:lang w:val="en-US"/>
        </w:rPr>
        <w:t>Autres</w:t>
      </w:r>
      <w:proofErr w:type="spellEnd"/>
      <w:r w:rsidRPr="00D73B1A">
        <w:rPr>
          <w:rFonts w:ascii="Times New Roman" w:hAnsi="Times New Roman" w:cs="Times New Roman"/>
          <w:i/>
          <w:lang w:val="en-US"/>
        </w:rPr>
        <w:t xml:space="preserve"> Pays </w:t>
      </w:r>
      <w:proofErr w:type="spellStart"/>
      <w:r w:rsidRPr="00D73B1A">
        <w:rPr>
          <w:rFonts w:ascii="Times New Roman" w:hAnsi="Times New Roman" w:cs="Times New Roman"/>
          <w:i/>
          <w:lang w:val="en-US"/>
        </w:rPr>
        <w:t>D’Afrique</w:t>
      </w:r>
      <w:proofErr w:type="spellEnd"/>
    </w:p>
    <w:p w:rsidR="0069612F" w:rsidRDefault="00D73B1A" w:rsidP="00A612C2">
      <w:pPr>
        <w:spacing w:line="360" w:lineRule="auto"/>
        <w:jc w:val="both"/>
        <w:rPr>
          <w:rFonts w:ascii="Times New Roman" w:hAnsi="Times New Roman" w:cs="Times New Roman"/>
          <w:lang w:val="en-US"/>
        </w:rPr>
      </w:pPr>
      <w:r w:rsidRPr="00D73B1A">
        <w:rPr>
          <w:rFonts w:ascii="Times New Roman" w:hAnsi="Times New Roman" w:cs="Times New Roman"/>
          <w:lang w:val="en-US"/>
        </w:rPr>
        <w:t>All other regions in Africa with which trade is conducted, excluding the French possessions (North, West, Equatorial and Islands), all British possessions and Egypt.</w:t>
      </w:r>
      <w:r>
        <w:rPr>
          <w:rFonts w:ascii="Times New Roman" w:hAnsi="Times New Roman" w:cs="Times New Roman"/>
          <w:lang w:val="en-US"/>
        </w:rPr>
        <w:t xml:space="preserve"> </w:t>
      </w:r>
      <w:r w:rsidRPr="00D73B1A">
        <w:rPr>
          <w:rFonts w:ascii="Times New Roman" w:hAnsi="Times New Roman" w:cs="Times New Roman"/>
          <w:lang w:val="en-US"/>
        </w:rPr>
        <w:t>Note that it does appear to include Djibouti prior to 1925.</w:t>
      </w:r>
    </w:p>
    <w:p w:rsidR="00596B8D" w:rsidRDefault="00596B8D" w:rsidP="00A612C2">
      <w:pPr>
        <w:spacing w:line="360" w:lineRule="auto"/>
        <w:jc w:val="both"/>
        <w:rPr>
          <w:rFonts w:ascii="Times New Roman" w:hAnsi="Times New Roman" w:cs="Times New Roman"/>
          <w:lang w:val="en-US"/>
        </w:rPr>
      </w:pPr>
    </w:p>
    <w:p w:rsidR="00B44CB7" w:rsidRDefault="00B44CB7" w:rsidP="00A612C2">
      <w:pPr>
        <w:spacing w:after="160" w:line="259" w:lineRule="auto"/>
        <w:jc w:val="both"/>
        <w:rPr>
          <w:rFonts w:ascii="Times New Roman" w:hAnsi="Times New Roman" w:cs="Times New Roman"/>
          <w:b/>
          <w:lang w:val="en-US"/>
        </w:rPr>
      </w:pPr>
      <w:r>
        <w:rPr>
          <w:rFonts w:ascii="Times New Roman" w:hAnsi="Times New Roman" w:cs="Times New Roman"/>
          <w:b/>
          <w:lang w:val="en-US"/>
        </w:rPr>
        <w:br w:type="page"/>
      </w:r>
    </w:p>
    <w:p w:rsidR="00596B8D" w:rsidRDefault="00596B8D" w:rsidP="00A612C2">
      <w:pPr>
        <w:spacing w:line="360" w:lineRule="auto"/>
        <w:jc w:val="both"/>
        <w:rPr>
          <w:rFonts w:ascii="Times New Roman" w:hAnsi="Times New Roman" w:cs="Times New Roman"/>
          <w:b/>
          <w:lang w:val="en-US"/>
        </w:rPr>
      </w:pPr>
      <w:r>
        <w:rPr>
          <w:rFonts w:ascii="Times New Roman" w:hAnsi="Times New Roman" w:cs="Times New Roman"/>
          <w:b/>
          <w:lang w:val="en-US"/>
        </w:rPr>
        <w:lastRenderedPageBreak/>
        <w:t>REFERENCES</w:t>
      </w:r>
    </w:p>
    <w:p w:rsidR="00B44CB7" w:rsidRPr="00E16209" w:rsidRDefault="00B44CB7" w:rsidP="00A612C2">
      <w:pPr>
        <w:spacing w:after="100" w:line="360" w:lineRule="auto"/>
        <w:ind w:left="393" w:hanging="393"/>
        <w:jc w:val="both"/>
        <w:rPr>
          <w:rFonts w:ascii="Times New Roman" w:hAnsi="Times New Roman" w:cs="Times New Roman"/>
        </w:rPr>
      </w:pPr>
      <w:proofErr w:type="spellStart"/>
      <w:r w:rsidRPr="00E16209">
        <w:rPr>
          <w:rFonts w:ascii="Times New Roman" w:hAnsi="Times New Roman" w:cs="Times New Roman"/>
        </w:rPr>
        <w:t>Blattman</w:t>
      </w:r>
      <w:proofErr w:type="spellEnd"/>
      <w:r w:rsidRPr="00E16209">
        <w:rPr>
          <w:rFonts w:ascii="Times New Roman" w:hAnsi="Times New Roman" w:cs="Times New Roman"/>
        </w:rPr>
        <w:t xml:space="preserve">, Chris, Jason Hwang, and Jeffrey G. Williamson. “The Impact of the Terms of Trade on Economic Development in the Periphery, 1870-1939: Volatility and Secular Change.” </w:t>
      </w:r>
      <w:r w:rsidRPr="00E16209">
        <w:rPr>
          <w:rFonts w:ascii="Times New Roman" w:hAnsi="Times New Roman" w:cs="Times New Roman"/>
          <w:i/>
        </w:rPr>
        <w:t xml:space="preserve">Journal of Development Economics </w:t>
      </w:r>
      <w:r w:rsidRPr="00E16209">
        <w:rPr>
          <w:rFonts w:ascii="Times New Roman" w:hAnsi="Times New Roman" w:cs="Times New Roman"/>
        </w:rPr>
        <w:t>82 (January 2007): 156–79.</w:t>
      </w:r>
    </w:p>
    <w:p w:rsidR="00B44CB7" w:rsidRPr="00E16209" w:rsidRDefault="00B44CB7" w:rsidP="00A612C2">
      <w:pPr>
        <w:spacing w:after="100" w:line="360" w:lineRule="auto"/>
        <w:ind w:left="393" w:hanging="393"/>
        <w:jc w:val="both"/>
        <w:rPr>
          <w:rFonts w:ascii="Times New Roman" w:hAnsi="Times New Roman" w:cs="Times New Roman"/>
        </w:rPr>
      </w:pPr>
      <w:proofErr w:type="spellStart"/>
      <w:r w:rsidRPr="00E16209">
        <w:rPr>
          <w:rFonts w:ascii="Times New Roman" w:hAnsi="Times New Roman" w:cs="Times New Roman"/>
        </w:rPr>
        <w:t>Diewert</w:t>
      </w:r>
      <w:proofErr w:type="spellEnd"/>
      <w:r w:rsidRPr="00E16209">
        <w:rPr>
          <w:rFonts w:ascii="Times New Roman" w:hAnsi="Times New Roman" w:cs="Times New Roman"/>
        </w:rPr>
        <w:t xml:space="preserve">, W. Erwin. </w:t>
      </w:r>
      <w:r w:rsidRPr="00E16209">
        <w:rPr>
          <w:rFonts w:ascii="Times New Roman" w:hAnsi="Times New Roman" w:cs="Times New Roman"/>
          <w:i/>
        </w:rPr>
        <w:t>Price Level Measurement</w:t>
      </w:r>
      <w:r w:rsidRPr="00E16209">
        <w:rPr>
          <w:rFonts w:ascii="Times New Roman" w:hAnsi="Times New Roman" w:cs="Times New Roman"/>
        </w:rPr>
        <w:t>. Amsterdam: Elsevier Science Publishing Company, 2014.</w:t>
      </w:r>
    </w:p>
    <w:p w:rsidR="00B44CB7" w:rsidRPr="00E16209" w:rsidRDefault="00B44CB7" w:rsidP="00A612C2">
      <w:pPr>
        <w:spacing w:after="100" w:line="360" w:lineRule="auto"/>
        <w:ind w:left="393" w:hanging="393"/>
        <w:jc w:val="both"/>
        <w:rPr>
          <w:rFonts w:ascii="Times New Roman" w:hAnsi="Times New Roman" w:cs="Times New Roman"/>
        </w:rPr>
      </w:pPr>
      <w:r w:rsidRPr="00E16209">
        <w:rPr>
          <w:rFonts w:ascii="Times New Roman" w:hAnsi="Times New Roman" w:cs="Times New Roman"/>
        </w:rPr>
        <w:t xml:space="preserve">IMF. </w:t>
      </w:r>
      <w:r w:rsidRPr="00E16209">
        <w:rPr>
          <w:rFonts w:ascii="Times New Roman" w:hAnsi="Times New Roman" w:cs="Times New Roman"/>
          <w:i/>
        </w:rPr>
        <w:t>Export and Import Price Index Manual: Theory and Practice</w:t>
      </w:r>
      <w:r w:rsidRPr="00E16209">
        <w:rPr>
          <w:rFonts w:ascii="Times New Roman" w:hAnsi="Times New Roman" w:cs="Times New Roman"/>
        </w:rPr>
        <w:t>. Washington: International Monetary Fund, 2009.</w:t>
      </w:r>
    </w:p>
    <w:p w:rsidR="00B44CB7" w:rsidRPr="00E16209" w:rsidRDefault="00B44CB7" w:rsidP="00A612C2">
      <w:pPr>
        <w:spacing w:after="100" w:line="360" w:lineRule="auto"/>
        <w:ind w:left="393" w:hanging="393"/>
        <w:jc w:val="both"/>
        <w:rPr>
          <w:rFonts w:ascii="Times New Roman" w:hAnsi="Times New Roman" w:cs="Times New Roman"/>
        </w:rPr>
      </w:pPr>
      <w:r w:rsidRPr="00E16209">
        <w:rPr>
          <w:rFonts w:ascii="Times New Roman" w:hAnsi="Times New Roman" w:cs="Times New Roman"/>
        </w:rPr>
        <w:t xml:space="preserve">Mitchell, Brian R. </w:t>
      </w:r>
      <w:r w:rsidRPr="00E16209">
        <w:rPr>
          <w:rFonts w:ascii="Times New Roman" w:hAnsi="Times New Roman" w:cs="Times New Roman"/>
          <w:i/>
        </w:rPr>
        <w:t>British Historical Statistics</w:t>
      </w:r>
      <w:r w:rsidRPr="00E16209">
        <w:rPr>
          <w:rFonts w:ascii="Times New Roman" w:hAnsi="Times New Roman" w:cs="Times New Roman"/>
        </w:rPr>
        <w:t>. Cambridge: Cambridge University Press, 1988.</w:t>
      </w:r>
    </w:p>
    <w:p w:rsidR="00B44CB7" w:rsidRPr="00E16209" w:rsidRDefault="00B44CB7" w:rsidP="00A612C2">
      <w:pPr>
        <w:spacing w:after="100" w:line="360" w:lineRule="auto"/>
        <w:ind w:left="393" w:hanging="393"/>
        <w:jc w:val="both"/>
        <w:rPr>
          <w:rFonts w:ascii="Times New Roman" w:hAnsi="Times New Roman" w:cs="Times New Roman"/>
        </w:rPr>
      </w:pPr>
      <w:r w:rsidRPr="00E16209">
        <w:rPr>
          <w:rFonts w:ascii="Times New Roman" w:hAnsi="Times New Roman" w:cs="Times New Roman"/>
          <w:color w:val="222222"/>
          <w:shd w:val="clear" w:color="auto" w:fill="FFFFFF"/>
        </w:rPr>
        <w:t>______.</w:t>
      </w:r>
      <w:r w:rsidRPr="00E16209">
        <w:rPr>
          <w:rFonts w:ascii="Times New Roman" w:hAnsi="Times New Roman" w:cs="Times New Roman"/>
        </w:rPr>
        <w:t xml:space="preserve"> </w:t>
      </w:r>
      <w:r w:rsidRPr="00E16209">
        <w:rPr>
          <w:rFonts w:ascii="Times New Roman" w:hAnsi="Times New Roman" w:cs="Times New Roman"/>
          <w:i/>
        </w:rPr>
        <w:t>International Historical Statistics: Europe 1750-2005</w:t>
      </w:r>
      <w:r w:rsidRPr="00E16209">
        <w:rPr>
          <w:rFonts w:ascii="Times New Roman" w:hAnsi="Times New Roman" w:cs="Times New Roman"/>
        </w:rPr>
        <w:t xml:space="preserve">. </w:t>
      </w:r>
      <w:proofErr w:type="spellStart"/>
      <w:r w:rsidRPr="00E16209">
        <w:rPr>
          <w:rFonts w:ascii="Times New Roman" w:hAnsi="Times New Roman" w:cs="Times New Roman"/>
        </w:rPr>
        <w:t>Basingstroke</w:t>
      </w:r>
      <w:proofErr w:type="spellEnd"/>
      <w:r w:rsidRPr="00E16209">
        <w:rPr>
          <w:rFonts w:ascii="Times New Roman" w:hAnsi="Times New Roman" w:cs="Times New Roman"/>
        </w:rPr>
        <w:t>: Palgrave Macmillan, 2007.</w:t>
      </w:r>
    </w:p>
    <w:p w:rsidR="00B44CB7" w:rsidRPr="00E16209" w:rsidRDefault="00B44CB7" w:rsidP="00A612C2">
      <w:pPr>
        <w:spacing w:after="100" w:line="360" w:lineRule="auto"/>
        <w:ind w:left="393" w:hanging="393"/>
        <w:jc w:val="both"/>
        <w:rPr>
          <w:rFonts w:ascii="Times New Roman" w:hAnsi="Times New Roman" w:cs="Times New Roman"/>
        </w:rPr>
      </w:pPr>
      <w:proofErr w:type="spellStart"/>
      <w:r w:rsidRPr="00E16209">
        <w:rPr>
          <w:rFonts w:ascii="Times New Roman" w:hAnsi="Times New Roman" w:cs="Times New Roman"/>
        </w:rPr>
        <w:t>Sauerbeck</w:t>
      </w:r>
      <w:proofErr w:type="spellEnd"/>
      <w:r w:rsidRPr="00E16209">
        <w:rPr>
          <w:rFonts w:ascii="Times New Roman" w:hAnsi="Times New Roman" w:cs="Times New Roman"/>
        </w:rPr>
        <w:t xml:space="preserve">, Augustus. “Prices of Commodities and the Precious Metals.” </w:t>
      </w:r>
      <w:r w:rsidRPr="00E16209">
        <w:rPr>
          <w:rFonts w:ascii="Times New Roman" w:hAnsi="Times New Roman" w:cs="Times New Roman"/>
          <w:i/>
        </w:rPr>
        <w:t xml:space="preserve">Journal of the Statistical Society of London </w:t>
      </w:r>
      <w:r w:rsidRPr="00E16209">
        <w:rPr>
          <w:rFonts w:ascii="Times New Roman" w:hAnsi="Times New Roman" w:cs="Times New Roman"/>
        </w:rPr>
        <w:t>49, no. 3 (1886): 581–648.</w:t>
      </w:r>
    </w:p>
    <w:p w:rsidR="00B44CB7" w:rsidRPr="00E16209" w:rsidRDefault="00B44CB7" w:rsidP="00A612C2">
      <w:pPr>
        <w:spacing w:after="100" w:line="360" w:lineRule="auto"/>
        <w:ind w:left="393" w:hanging="393"/>
        <w:jc w:val="both"/>
        <w:rPr>
          <w:rFonts w:ascii="Times New Roman" w:hAnsi="Times New Roman" w:cs="Times New Roman"/>
        </w:rPr>
      </w:pPr>
      <w:r w:rsidRPr="00E16209">
        <w:rPr>
          <w:rFonts w:ascii="Times New Roman" w:hAnsi="Times New Roman" w:cs="Times New Roman"/>
          <w:color w:val="222222"/>
          <w:shd w:val="clear" w:color="auto" w:fill="FFFFFF"/>
        </w:rPr>
        <w:t>______.</w:t>
      </w:r>
      <w:r w:rsidRPr="00E16209">
        <w:rPr>
          <w:rFonts w:ascii="Times New Roman" w:hAnsi="Times New Roman" w:cs="Times New Roman"/>
        </w:rPr>
        <w:t xml:space="preserve"> “Prices of Commodities in 1893.” </w:t>
      </w:r>
      <w:r w:rsidRPr="00E16209">
        <w:rPr>
          <w:rFonts w:ascii="Times New Roman" w:hAnsi="Times New Roman" w:cs="Times New Roman"/>
          <w:i/>
        </w:rPr>
        <w:t xml:space="preserve">Journal of the Statistical Society of London </w:t>
      </w:r>
      <w:r w:rsidRPr="00E16209">
        <w:rPr>
          <w:rFonts w:ascii="Times New Roman" w:hAnsi="Times New Roman" w:cs="Times New Roman"/>
        </w:rPr>
        <w:t>57, no. 1 (1894): 172–83.</w:t>
      </w:r>
    </w:p>
    <w:p w:rsidR="00B44CB7" w:rsidRPr="00E16209" w:rsidRDefault="00B44CB7" w:rsidP="00A612C2">
      <w:pPr>
        <w:spacing w:after="100" w:line="360" w:lineRule="auto"/>
        <w:ind w:left="393" w:hanging="393"/>
        <w:jc w:val="both"/>
        <w:rPr>
          <w:rFonts w:ascii="Times New Roman" w:hAnsi="Times New Roman" w:cs="Times New Roman"/>
        </w:rPr>
      </w:pPr>
      <w:r w:rsidRPr="00E16209">
        <w:rPr>
          <w:rFonts w:ascii="Times New Roman" w:hAnsi="Times New Roman" w:cs="Times New Roman"/>
          <w:color w:val="222222"/>
          <w:shd w:val="clear" w:color="auto" w:fill="FFFFFF"/>
        </w:rPr>
        <w:t>______.</w:t>
      </w:r>
      <w:r w:rsidRPr="00E16209">
        <w:rPr>
          <w:rFonts w:ascii="Times New Roman" w:hAnsi="Times New Roman" w:cs="Times New Roman"/>
        </w:rPr>
        <w:t xml:space="preserve"> “Prices of Commodities in 1904.” </w:t>
      </w:r>
      <w:r w:rsidRPr="00E16209">
        <w:rPr>
          <w:rFonts w:ascii="Times New Roman" w:hAnsi="Times New Roman" w:cs="Times New Roman"/>
          <w:i/>
        </w:rPr>
        <w:t xml:space="preserve">Journal of the Statistical Society of London </w:t>
      </w:r>
      <w:r w:rsidRPr="00E16209">
        <w:rPr>
          <w:rFonts w:ascii="Times New Roman" w:hAnsi="Times New Roman" w:cs="Times New Roman"/>
        </w:rPr>
        <w:t>68, no. 1 (1905): 138–53.</w:t>
      </w:r>
    </w:p>
    <w:p w:rsidR="00B44CB7" w:rsidRPr="00E16209" w:rsidRDefault="00B44CB7" w:rsidP="00A612C2">
      <w:pPr>
        <w:spacing w:after="100" w:line="360" w:lineRule="auto"/>
        <w:ind w:left="393" w:hanging="393"/>
        <w:jc w:val="both"/>
        <w:rPr>
          <w:rFonts w:ascii="Times New Roman" w:hAnsi="Times New Roman" w:cs="Times New Roman"/>
        </w:rPr>
      </w:pPr>
      <w:r w:rsidRPr="00E16209">
        <w:rPr>
          <w:rFonts w:ascii="Times New Roman" w:hAnsi="Times New Roman" w:cs="Times New Roman"/>
          <w:color w:val="222222"/>
          <w:shd w:val="clear" w:color="auto" w:fill="FFFFFF"/>
        </w:rPr>
        <w:t>______.</w:t>
      </w:r>
      <w:r w:rsidRPr="00E16209">
        <w:rPr>
          <w:rFonts w:ascii="Times New Roman" w:hAnsi="Times New Roman" w:cs="Times New Roman"/>
        </w:rPr>
        <w:t xml:space="preserve"> “Prices of Commodities in 1916.” </w:t>
      </w:r>
      <w:r w:rsidRPr="00E16209">
        <w:rPr>
          <w:rFonts w:ascii="Times New Roman" w:hAnsi="Times New Roman" w:cs="Times New Roman"/>
          <w:i/>
        </w:rPr>
        <w:t xml:space="preserve">Journal of the Statistical Society of London </w:t>
      </w:r>
      <w:r w:rsidRPr="00E16209">
        <w:rPr>
          <w:rFonts w:ascii="Times New Roman" w:hAnsi="Times New Roman" w:cs="Times New Roman"/>
        </w:rPr>
        <w:t>80, no. 2 (1917): 289–309.</w:t>
      </w:r>
    </w:p>
    <w:p w:rsidR="00B44CB7" w:rsidRPr="00E16209" w:rsidRDefault="00B44CB7" w:rsidP="00A612C2">
      <w:pPr>
        <w:spacing w:after="100" w:line="360" w:lineRule="auto"/>
        <w:ind w:left="393" w:hanging="393"/>
        <w:jc w:val="both"/>
        <w:rPr>
          <w:rFonts w:ascii="Times New Roman" w:hAnsi="Times New Roman" w:cs="Times New Roman"/>
        </w:rPr>
      </w:pPr>
      <w:r w:rsidRPr="00E16209">
        <w:rPr>
          <w:rFonts w:ascii="Times New Roman" w:hAnsi="Times New Roman" w:cs="Times New Roman"/>
          <w:color w:val="222222"/>
          <w:shd w:val="clear" w:color="auto" w:fill="FFFFFF"/>
        </w:rPr>
        <w:t>______.</w:t>
      </w:r>
      <w:r w:rsidRPr="00E16209">
        <w:rPr>
          <w:rFonts w:ascii="Times New Roman" w:hAnsi="Times New Roman" w:cs="Times New Roman"/>
        </w:rPr>
        <w:t xml:space="preserve"> “Prices of Commodities in 1931.” </w:t>
      </w:r>
      <w:r w:rsidRPr="00E16209">
        <w:rPr>
          <w:rFonts w:ascii="Times New Roman" w:hAnsi="Times New Roman" w:cs="Times New Roman"/>
          <w:i/>
        </w:rPr>
        <w:t xml:space="preserve">Journal of the Statistical Society of London </w:t>
      </w:r>
      <w:r w:rsidRPr="00E16209">
        <w:rPr>
          <w:rFonts w:ascii="Times New Roman" w:hAnsi="Times New Roman" w:cs="Times New Roman"/>
        </w:rPr>
        <w:t>95, no. 2 (1932): 303–19.</w:t>
      </w:r>
    </w:p>
    <w:p w:rsidR="00B44CB7" w:rsidRDefault="00B44CB7" w:rsidP="00A612C2">
      <w:pPr>
        <w:spacing w:after="100" w:line="360" w:lineRule="auto"/>
        <w:ind w:left="393" w:hanging="393"/>
        <w:jc w:val="both"/>
        <w:rPr>
          <w:rFonts w:ascii="Times New Roman" w:hAnsi="Times New Roman" w:cs="Times New Roman"/>
        </w:rPr>
      </w:pPr>
      <w:r w:rsidRPr="00E16209">
        <w:rPr>
          <w:rFonts w:ascii="Times New Roman" w:hAnsi="Times New Roman" w:cs="Times New Roman"/>
          <w:color w:val="222222"/>
          <w:shd w:val="clear" w:color="auto" w:fill="FFFFFF"/>
        </w:rPr>
        <w:t>______.</w:t>
      </w:r>
      <w:r w:rsidRPr="00E16209">
        <w:rPr>
          <w:rFonts w:ascii="Times New Roman" w:hAnsi="Times New Roman" w:cs="Times New Roman"/>
        </w:rPr>
        <w:t xml:space="preserve"> “Wholesale Prices in 1950.” </w:t>
      </w:r>
      <w:r w:rsidRPr="00E16209">
        <w:rPr>
          <w:rFonts w:ascii="Times New Roman" w:hAnsi="Times New Roman" w:cs="Times New Roman"/>
          <w:i/>
        </w:rPr>
        <w:t xml:space="preserve">Journal of the Statistical Society of London </w:t>
      </w:r>
      <w:r w:rsidRPr="00E16209">
        <w:rPr>
          <w:rFonts w:ascii="Times New Roman" w:hAnsi="Times New Roman" w:cs="Times New Roman"/>
        </w:rPr>
        <w:t>114, no. 3 (1951): 408–22.</w:t>
      </w:r>
    </w:p>
    <w:p w:rsidR="00B44CB7" w:rsidRPr="001F288B" w:rsidRDefault="00B44CB7" w:rsidP="00A612C2">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after="100" w:line="360" w:lineRule="auto"/>
        <w:ind w:left="360" w:hanging="393"/>
        <w:jc w:val="both"/>
        <w:rPr>
          <w:rFonts w:ascii="Times New Roman" w:hAnsi="Times New Roman" w:cs="Times New Roman"/>
        </w:rPr>
      </w:pPr>
      <w:r w:rsidRPr="001F288B">
        <w:rPr>
          <w:rFonts w:ascii="Times New Roman" w:hAnsi="Times New Roman" w:cs="Times New Roman"/>
        </w:rPr>
        <w:t xml:space="preserve">U.S. Department of Commerce, Bureau of the Census, </w:t>
      </w:r>
      <w:r w:rsidRPr="001F288B">
        <w:rPr>
          <w:rFonts w:ascii="Times New Roman" w:hAnsi="Times New Roman" w:cs="Times New Roman"/>
          <w:i/>
        </w:rPr>
        <w:t>Historical Statistics of the United States, Colonial Times to 1970</w:t>
      </w:r>
      <w:r w:rsidRPr="001F288B">
        <w:rPr>
          <w:rFonts w:ascii="Times New Roman" w:hAnsi="Times New Roman" w:cs="Times New Roman"/>
        </w:rPr>
        <w:t>, Washington D.C.: U.S. GPO, 1975.</w:t>
      </w:r>
    </w:p>
    <w:p w:rsidR="00B44CB7" w:rsidRDefault="00B44CB7" w:rsidP="00A612C2">
      <w:pPr>
        <w:spacing w:after="100" w:line="360" w:lineRule="auto"/>
        <w:ind w:left="393" w:hanging="393"/>
        <w:jc w:val="both"/>
        <w:rPr>
          <w:rFonts w:ascii="Times New Roman" w:hAnsi="Times New Roman" w:cs="Times New Roman"/>
        </w:rPr>
      </w:pPr>
      <w:r w:rsidRPr="00E16209">
        <w:rPr>
          <w:rFonts w:ascii="Times New Roman" w:hAnsi="Times New Roman" w:cs="Times New Roman"/>
        </w:rPr>
        <w:t xml:space="preserve">Williamson, Jeffrey G. </w:t>
      </w:r>
      <w:r w:rsidRPr="00E16209">
        <w:rPr>
          <w:rFonts w:ascii="Times New Roman" w:hAnsi="Times New Roman" w:cs="Times New Roman"/>
          <w:i/>
        </w:rPr>
        <w:t>Trade and Poverty: When the Third World Fell Behind</w:t>
      </w:r>
      <w:r w:rsidRPr="00E16209">
        <w:rPr>
          <w:rFonts w:ascii="Times New Roman" w:hAnsi="Times New Roman" w:cs="Times New Roman"/>
        </w:rPr>
        <w:t>. Cambridge, MA: MIT Press, 2011.</w:t>
      </w:r>
    </w:p>
    <w:p w:rsidR="00B44CB7" w:rsidRPr="00B44CB7" w:rsidRDefault="00B44CB7" w:rsidP="00B44CB7">
      <w:pPr>
        <w:spacing w:line="360" w:lineRule="auto"/>
        <w:jc w:val="left"/>
        <w:rPr>
          <w:rFonts w:ascii="Times New Roman" w:hAnsi="Times New Roman" w:cs="Times New Roman"/>
        </w:rPr>
      </w:pPr>
    </w:p>
    <w:sectPr w:rsidR="00B44CB7" w:rsidRPr="00B44C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1A1B" w:rsidRDefault="00DE1A1B" w:rsidP="00E60FCE">
      <w:pPr>
        <w:spacing w:line="240" w:lineRule="auto"/>
      </w:pPr>
      <w:r>
        <w:separator/>
      </w:r>
    </w:p>
  </w:endnote>
  <w:endnote w:type="continuationSeparator" w:id="0">
    <w:p w:rsidR="00DE1A1B" w:rsidRDefault="00DE1A1B" w:rsidP="00E60F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1A1B" w:rsidRDefault="00DE1A1B" w:rsidP="00E60FCE">
      <w:pPr>
        <w:spacing w:line="240" w:lineRule="auto"/>
      </w:pPr>
      <w:r>
        <w:separator/>
      </w:r>
    </w:p>
  </w:footnote>
  <w:footnote w:type="continuationSeparator" w:id="0">
    <w:p w:rsidR="00DE1A1B" w:rsidRDefault="00DE1A1B" w:rsidP="00E60FCE">
      <w:pPr>
        <w:spacing w:line="240" w:lineRule="auto"/>
      </w:pPr>
      <w:r>
        <w:continuationSeparator/>
      </w:r>
    </w:p>
  </w:footnote>
  <w:footnote w:id="1">
    <w:p w:rsidR="0053797B" w:rsidRPr="004318EA" w:rsidRDefault="0053797B" w:rsidP="0053797B">
      <w:pPr>
        <w:pStyle w:val="FootnoteText"/>
        <w:jc w:val="left"/>
        <w:rPr>
          <w:rFonts w:ascii="Times New Roman" w:hAnsi="Times New Roman" w:cs="Times New Roman"/>
          <w:sz w:val="18"/>
          <w:szCs w:val="18"/>
          <w:lang w:val="en-US"/>
        </w:rPr>
      </w:pPr>
      <w:r w:rsidRPr="00B44DBB">
        <w:rPr>
          <w:rStyle w:val="FootnoteReference"/>
          <w:rFonts w:ascii="Times New Roman" w:hAnsi="Times New Roman" w:cs="Times New Roman"/>
          <w:sz w:val="18"/>
          <w:szCs w:val="18"/>
        </w:rPr>
        <w:footnoteRef/>
      </w:r>
      <w:r w:rsidRPr="00B44DBB">
        <w:rPr>
          <w:rFonts w:ascii="Times New Roman" w:hAnsi="Times New Roman" w:cs="Times New Roman"/>
          <w:sz w:val="18"/>
          <w:szCs w:val="18"/>
        </w:rPr>
        <w:t xml:space="preserve"> </w:t>
      </w:r>
      <w:r w:rsidRPr="00B44DBB">
        <w:rPr>
          <w:rFonts w:ascii="Times New Roman" w:hAnsi="Times New Roman" w:cs="Times New Roman"/>
          <w:sz w:val="18"/>
          <w:szCs w:val="18"/>
          <w:lang w:val="en-US"/>
        </w:rPr>
        <w:t xml:space="preserve">Either </w:t>
      </w:r>
      <w:r>
        <w:rPr>
          <w:rFonts w:ascii="Times New Roman" w:hAnsi="Times New Roman" w:cs="Times New Roman"/>
          <w:sz w:val="18"/>
          <w:szCs w:val="18"/>
          <w:lang w:val="en-US"/>
        </w:rPr>
        <w:t xml:space="preserve">price data was absent or, in the case of </w:t>
      </w:r>
      <w:r w:rsidRPr="004318EA">
        <w:rPr>
          <w:rFonts w:ascii="Times New Roman" w:hAnsi="Times New Roman" w:cs="Times New Roman"/>
          <w:i/>
          <w:sz w:val="18"/>
          <w:szCs w:val="18"/>
          <w:lang w:val="en-US"/>
        </w:rPr>
        <w:t>cotton goods</w:t>
      </w:r>
      <w:r>
        <w:rPr>
          <w:rFonts w:ascii="Times New Roman" w:hAnsi="Times New Roman" w:cs="Times New Roman"/>
          <w:sz w:val="18"/>
          <w:szCs w:val="18"/>
          <w:lang w:val="en-US"/>
        </w:rPr>
        <w:t>, the units (e.g. yards or packages), description and quality changed frequently and were irreconcilable between the years in our sample.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BC"/>
    <w:rsid w:val="0003239B"/>
    <w:rsid w:val="000A71E5"/>
    <w:rsid w:val="000C4026"/>
    <w:rsid w:val="001E61FC"/>
    <w:rsid w:val="002E6F9B"/>
    <w:rsid w:val="0046085D"/>
    <w:rsid w:val="004E1995"/>
    <w:rsid w:val="005364DC"/>
    <w:rsid w:val="0053797B"/>
    <w:rsid w:val="0056562B"/>
    <w:rsid w:val="00594998"/>
    <w:rsid w:val="00596B8D"/>
    <w:rsid w:val="00670E55"/>
    <w:rsid w:val="0069612F"/>
    <w:rsid w:val="006E7DB1"/>
    <w:rsid w:val="008412BC"/>
    <w:rsid w:val="008A5862"/>
    <w:rsid w:val="009C65A3"/>
    <w:rsid w:val="00A53610"/>
    <w:rsid w:val="00A612C2"/>
    <w:rsid w:val="00B44CB7"/>
    <w:rsid w:val="00D73B1A"/>
    <w:rsid w:val="00DC1562"/>
    <w:rsid w:val="00DE1A1B"/>
    <w:rsid w:val="00E60FCE"/>
    <w:rsid w:val="00F63CF0"/>
    <w:rsid w:val="00F72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937CE"/>
  <w15:chartTrackingRefBased/>
  <w15:docId w15:val="{F576D7F5-F088-4225-A5B3-C60BF2D93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12BC"/>
    <w:pPr>
      <w:spacing w:after="0" w:line="276" w:lineRule="auto"/>
      <w:jc w:val="center"/>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E60FCE"/>
    <w:pPr>
      <w:spacing w:line="240" w:lineRule="auto"/>
    </w:pPr>
    <w:rPr>
      <w:sz w:val="20"/>
      <w:szCs w:val="20"/>
    </w:rPr>
  </w:style>
  <w:style w:type="character" w:customStyle="1" w:styleId="FootnoteTextChar">
    <w:name w:val="Footnote Text Char"/>
    <w:basedOn w:val="DefaultParagraphFont"/>
    <w:link w:val="FootnoteText"/>
    <w:semiHidden/>
    <w:rsid w:val="00E60FCE"/>
    <w:rPr>
      <w:sz w:val="20"/>
      <w:szCs w:val="20"/>
      <w:lang w:val="en-GB"/>
    </w:rPr>
  </w:style>
  <w:style w:type="character" w:styleId="FootnoteReference">
    <w:name w:val="footnote reference"/>
    <w:basedOn w:val="DefaultParagraphFont"/>
    <w:semiHidden/>
    <w:unhideWhenUsed/>
    <w:rsid w:val="00E60FCE"/>
    <w:rPr>
      <w:vertAlign w:val="superscript"/>
    </w:rPr>
  </w:style>
  <w:style w:type="character" w:styleId="PlaceholderText">
    <w:name w:val="Placeholder Text"/>
    <w:basedOn w:val="DefaultParagraphFont"/>
    <w:uiPriority w:val="99"/>
    <w:semiHidden/>
    <w:rsid w:val="0003239B"/>
    <w:rPr>
      <w:color w:val="808080"/>
    </w:rPr>
  </w:style>
  <w:style w:type="table" w:styleId="TableGrid">
    <w:name w:val="Table Grid"/>
    <w:basedOn w:val="TableNormal"/>
    <w:uiPriority w:val="39"/>
    <w:rsid w:val="00696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8</Pages>
  <Words>2503</Words>
  <Characters>14268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Jop Woltjer</dc:creator>
  <cp:keywords/>
  <dc:description/>
  <cp:lastModifiedBy>Jop Woltjer</cp:lastModifiedBy>
  <cp:revision>6</cp:revision>
  <dcterms:created xsi:type="dcterms:W3CDTF">2017-10-23T08:41:00Z</dcterms:created>
  <dcterms:modified xsi:type="dcterms:W3CDTF">2017-10-24T13:23:00Z</dcterms:modified>
</cp:coreProperties>
</file>